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B6A" w:rsidRDefault="00DF5E72">
      <w:pPr>
        <w:rPr>
          <w:rFonts w:ascii="楷体_GB2312" w:eastAsia="楷体_GB2312" w:hAnsi="楷体_GB2312" w:cs="楷体_GB2312"/>
          <w:sz w:val="32"/>
          <w:szCs w:val="32"/>
        </w:rPr>
      </w:pPr>
      <w:r>
        <w:rPr>
          <w:rFonts w:ascii="楷体_GB2312" w:eastAsia="楷体_GB2312" w:hAnsi="楷体_GB2312" w:cs="楷体_GB2312" w:hint="eastAsia"/>
          <w:sz w:val="32"/>
          <w:szCs w:val="32"/>
        </w:rPr>
        <w:t>附件：</w:t>
      </w:r>
      <w:bookmarkStart w:id="0" w:name="_GoBack"/>
      <w:r>
        <w:rPr>
          <w:rFonts w:ascii="楷体_GB2312" w:eastAsia="楷体_GB2312" w:hAnsi="楷体_GB2312" w:cs="楷体_GB2312" w:hint="eastAsia"/>
          <w:sz w:val="28"/>
          <w:szCs w:val="28"/>
        </w:rPr>
        <w:t>微生物生长曲线分析仪</w:t>
      </w:r>
      <w:bookmarkEnd w:id="0"/>
    </w:p>
    <w:tbl>
      <w:tblPr>
        <w:tblW w:w="93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4A0" w:firstRow="1" w:lastRow="0" w:firstColumn="1" w:lastColumn="0" w:noHBand="0" w:noVBand="1"/>
      </w:tblPr>
      <w:tblGrid>
        <w:gridCol w:w="1915"/>
        <w:gridCol w:w="7455"/>
      </w:tblGrid>
      <w:tr w:rsidR="00361B6A">
        <w:trPr>
          <w:jc w:val="center"/>
        </w:trPr>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楷体_GB2312" w:eastAsia="楷体_GB2312" w:hAnsi="楷体_GB2312" w:cs="楷体_GB2312"/>
                <w:sz w:val="24"/>
                <w:szCs w:val="24"/>
              </w:rPr>
            </w:pPr>
            <w:r>
              <w:rPr>
                <w:rFonts w:ascii="楷体_GB2312" w:eastAsia="楷体_GB2312" w:hAnsi="楷体_GB2312" w:cs="楷体_GB2312" w:hint="eastAsia"/>
                <w:b/>
                <w:bCs/>
                <w:sz w:val="24"/>
                <w:szCs w:val="24"/>
              </w:rPr>
              <w:t>设备名称</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微生物生长曲线分析仪（外文名称：</w:t>
            </w:r>
            <w:r>
              <w:rPr>
                <w:rFonts w:ascii="楷体_GB2312" w:eastAsia="楷体_GB2312" w:hAnsi="楷体_GB2312" w:cs="楷体_GB2312" w:hint="eastAsia"/>
                <w:b/>
                <w:bCs/>
                <w:sz w:val="24"/>
                <w:szCs w:val="24"/>
              </w:rPr>
              <w:t>Microbiology Reader</w:t>
            </w:r>
            <w:r>
              <w:rPr>
                <w:rFonts w:ascii="楷体_GB2312" w:eastAsia="楷体_GB2312" w:hAnsi="楷体_GB2312" w:cs="楷体_GB2312" w:hint="eastAsia"/>
                <w:b/>
                <w:bCs/>
                <w:sz w:val="24"/>
                <w:szCs w:val="24"/>
              </w:rPr>
              <w:t>）</w:t>
            </w:r>
          </w:p>
        </w:tc>
      </w:tr>
      <w:tr w:rsidR="00361B6A">
        <w:trPr>
          <w:trHeight w:val="646"/>
          <w:jc w:val="center"/>
        </w:trPr>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楷体_GB2312" w:eastAsia="楷体_GB2312" w:hAnsi="楷体_GB2312" w:cs="楷体_GB2312"/>
                <w:sz w:val="32"/>
                <w:szCs w:val="32"/>
              </w:rPr>
            </w:pPr>
            <w:r>
              <w:rPr>
                <w:rFonts w:ascii="楷体_GB2312" w:eastAsia="楷体_GB2312" w:hAnsi="楷体_GB2312" w:cs="楷体_GB2312" w:hint="eastAsia"/>
                <w:b/>
                <w:bCs/>
                <w:sz w:val="24"/>
                <w:szCs w:val="24"/>
              </w:rPr>
              <w:t>主要技术参数</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1.</w:t>
            </w:r>
            <w:r>
              <w:rPr>
                <w:rFonts w:ascii="楷体_GB2312" w:eastAsia="楷体_GB2312" w:hAnsi="楷体_GB2312" w:cs="楷体_GB2312" w:hint="eastAsia"/>
                <w:color w:val="000000"/>
                <w:kern w:val="0"/>
                <w:sz w:val="24"/>
                <w:szCs w:val="24"/>
                <w:lang w:val="zh-CN" w:bidi="zh-CN"/>
              </w:rPr>
              <w:t>功能应用：酵母生长分析、细菌生长分析、抗生素耐药分析、藻类研究、生物燃料研究、食品和饮料测试等</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2.</w:t>
            </w:r>
            <w:r>
              <w:rPr>
                <w:rFonts w:ascii="楷体_GB2312" w:eastAsia="楷体_GB2312" w:hAnsi="楷体_GB2312" w:cs="楷体_GB2312" w:hint="eastAsia"/>
                <w:color w:val="000000"/>
                <w:kern w:val="0"/>
                <w:sz w:val="24"/>
                <w:szCs w:val="24"/>
                <w:lang w:val="zh-CN" w:bidi="zh-CN"/>
              </w:rPr>
              <w:t>检测模式：吸收光</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3.</w:t>
            </w:r>
            <w:r>
              <w:rPr>
                <w:rFonts w:ascii="楷体_GB2312" w:eastAsia="楷体_GB2312" w:hAnsi="楷体_GB2312" w:cs="楷体_GB2312" w:hint="eastAsia"/>
                <w:color w:val="000000"/>
                <w:kern w:val="0"/>
                <w:sz w:val="24"/>
                <w:szCs w:val="24"/>
                <w:lang w:val="zh-CN" w:bidi="zh-CN"/>
              </w:rPr>
              <w:t>孔板类型：标准</w:t>
            </w:r>
            <w:r>
              <w:rPr>
                <w:rFonts w:ascii="楷体_GB2312" w:eastAsia="楷体_GB2312" w:hAnsi="楷体_GB2312" w:cs="楷体_GB2312" w:hint="eastAsia"/>
                <w:color w:val="000000"/>
                <w:kern w:val="0"/>
                <w:sz w:val="24"/>
                <w:szCs w:val="24"/>
                <w:lang w:val="zh-CN" w:bidi="zh-CN"/>
              </w:rPr>
              <w:t>96</w:t>
            </w:r>
            <w:r>
              <w:rPr>
                <w:rFonts w:ascii="楷体_GB2312" w:eastAsia="楷体_GB2312" w:hAnsi="楷体_GB2312" w:cs="楷体_GB2312" w:hint="eastAsia"/>
                <w:color w:val="000000"/>
                <w:kern w:val="0"/>
                <w:sz w:val="24"/>
                <w:szCs w:val="24"/>
                <w:lang w:val="zh-CN" w:bidi="zh-CN"/>
              </w:rPr>
              <w:t>孔板，非专用耗材</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 xml:space="preserve">4. </w:t>
            </w:r>
            <w:r>
              <w:rPr>
                <w:rFonts w:ascii="楷体_GB2312" w:eastAsia="楷体_GB2312" w:hAnsi="楷体_GB2312" w:cs="楷体_GB2312" w:hint="eastAsia"/>
                <w:color w:val="000000"/>
                <w:kern w:val="0"/>
                <w:sz w:val="24"/>
                <w:szCs w:val="24"/>
                <w:lang w:val="zh-CN" w:bidi="zh-CN"/>
              </w:rPr>
              <w:t>孔板容量：拥有</w:t>
            </w:r>
            <w:r>
              <w:rPr>
                <w:rFonts w:ascii="楷体_GB2312" w:eastAsia="楷体_GB2312" w:hAnsi="楷体_GB2312" w:cs="楷体_GB2312" w:hint="eastAsia"/>
                <w:color w:val="000000"/>
                <w:kern w:val="0"/>
                <w:sz w:val="24"/>
                <w:szCs w:val="24"/>
                <w:lang w:val="zh-CN" w:bidi="zh-CN"/>
              </w:rPr>
              <w:t>4</w:t>
            </w:r>
            <w:r>
              <w:rPr>
                <w:rFonts w:ascii="楷体_GB2312" w:eastAsia="楷体_GB2312" w:hAnsi="楷体_GB2312" w:cs="楷体_GB2312" w:hint="eastAsia"/>
                <w:color w:val="000000"/>
                <w:kern w:val="0"/>
                <w:sz w:val="24"/>
                <w:szCs w:val="24"/>
                <w:lang w:val="zh-CN" w:bidi="zh-CN"/>
              </w:rPr>
              <w:t>个板位，同时可以进行</w:t>
            </w:r>
            <w:r>
              <w:rPr>
                <w:rFonts w:ascii="楷体_GB2312" w:eastAsia="楷体_GB2312" w:hAnsi="楷体_GB2312" w:cs="楷体_GB2312" w:hint="eastAsia"/>
                <w:color w:val="000000"/>
                <w:kern w:val="0"/>
                <w:sz w:val="24"/>
                <w:szCs w:val="24"/>
                <w:lang w:val="zh-CN" w:bidi="zh-CN"/>
              </w:rPr>
              <w:t>4</w:t>
            </w:r>
            <w:r>
              <w:rPr>
                <w:rFonts w:ascii="楷体_GB2312" w:eastAsia="楷体_GB2312" w:hAnsi="楷体_GB2312" w:cs="楷体_GB2312" w:hint="eastAsia"/>
                <w:color w:val="000000"/>
                <w:kern w:val="0"/>
                <w:sz w:val="24"/>
                <w:szCs w:val="24"/>
                <w:lang w:val="zh-CN" w:bidi="zh-CN"/>
              </w:rPr>
              <w:t>块</w:t>
            </w:r>
            <w:r>
              <w:rPr>
                <w:rFonts w:ascii="楷体_GB2312" w:eastAsia="楷体_GB2312" w:hAnsi="楷体_GB2312" w:cs="楷体_GB2312" w:hint="eastAsia"/>
                <w:color w:val="000000"/>
                <w:kern w:val="0"/>
                <w:sz w:val="24"/>
                <w:szCs w:val="24"/>
                <w:lang w:val="zh-CN" w:bidi="zh-CN"/>
              </w:rPr>
              <w:t>96</w:t>
            </w:r>
            <w:r>
              <w:rPr>
                <w:rFonts w:ascii="楷体_GB2312" w:eastAsia="楷体_GB2312" w:hAnsi="楷体_GB2312" w:cs="楷体_GB2312" w:hint="eastAsia"/>
                <w:color w:val="000000"/>
                <w:kern w:val="0"/>
                <w:sz w:val="24"/>
                <w:szCs w:val="24"/>
                <w:lang w:val="zh-CN" w:bidi="zh-CN"/>
              </w:rPr>
              <w:t>孔板内微生物的生长监测</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5. </w:t>
            </w:r>
            <w:r>
              <w:rPr>
                <w:rFonts w:ascii="楷体_GB2312" w:eastAsia="楷体_GB2312" w:hAnsi="楷体_GB2312" w:cs="楷体_GB2312" w:hint="eastAsia"/>
                <w:color w:val="000000"/>
                <w:kern w:val="0"/>
                <w:sz w:val="24"/>
                <w:szCs w:val="24"/>
                <w:lang w:val="zh-CN" w:bidi="zh-CN"/>
              </w:rPr>
              <w:t>温度控制：室温至</w:t>
            </w:r>
            <w:r>
              <w:rPr>
                <w:rFonts w:ascii="楷体_GB2312" w:eastAsia="楷体_GB2312" w:hAnsi="楷体_GB2312" w:cs="楷体_GB2312" w:hint="eastAsia"/>
                <w:color w:val="000000"/>
                <w:kern w:val="0"/>
                <w:sz w:val="24"/>
                <w:szCs w:val="24"/>
                <w:lang w:val="zh-CN" w:bidi="zh-CN"/>
              </w:rPr>
              <w:t>45</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C</w:t>
            </w:r>
            <w:r>
              <w:rPr>
                <w:rFonts w:ascii="楷体_GB2312" w:eastAsia="楷体_GB2312" w:hAnsi="楷体_GB2312" w:cs="楷体_GB2312" w:hint="eastAsia"/>
                <w:color w:val="000000"/>
                <w:kern w:val="0"/>
                <w:sz w:val="24"/>
                <w:szCs w:val="24"/>
                <w:lang w:val="zh-CN" w:bidi="zh-CN"/>
              </w:rPr>
              <w:t>，温度均</w:t>
            </w:r>
            <w:proofErr w:type="gramStart"/>
            <w:r>
              <w:rPr>
                <w:rFonts w:ascii="楷体_GB2312" w:eastAsia="楷体_GB2312" w:hAnsi="楷体_GB2312" w:cs="楷体_GB2312" w:hint="eastAsia"/>
                <w:color w:val="000000"/>
                <w:kern w:val="0"/>
                <w:sz w:val="24"/>
                <w:szCs w:val="24"/>
                <w:lang w:val="zh-CN" w:bidi="zh-CN"/>
              </w:rPr>
              <w:t>一</w:t>
            </w:r>
            <w:proofErr w:type="gramEnd"/>
            <w:r>
              <w:rPr>
                <w:rFonts w:ascii="楷体_GB2312" w:eastAsia="楷体_GB2312" w:hAnsi="楷体_GB2312" w:cs="楷体_GB2312" w:hint="eastAsia"/>
                <w:color w:val="000000"/>
                <w:kern w:val="0"/>
                <w:sz w:val="24"/>
                <w:szCs w:val="24"/>
                <w:lang w:val="zh-CN" w:bidi="zh-CN"/>
              </w:rPr>
              <w:t>性±</w:t>
            </w:r>
            <w:r>
              <w:rPr>
                <w:rFonts w:ascii="楷体_GB2312" w:eastAsia="楷体_GB2312" w:hAnsi="楷体_GB2312" w:cs="楷体_GB2312" w:hint="eastAsia"/>
                <w:color w:val="000000"/>
                <w:kern w:val="0"/>
                <w:sz w:val="24"/>
                <w:szCs w:val="24"/>
                <w:lang w:val="zh-CN" w:bidi="zh-CN"/>
              </w:rPr>
              <w:t>0.5</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C@37</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C</w:t>
            </w:r>
            <w:r>
              <w:rPr>
                <w:rFonts w:ascii="楷体_GB2312" w:eastAsia="楷体_GB2312" w:hAnsi="楷体_GB2312" w:cs="楷体_GB2312" w:hint="eastAsia"/>
                <w:color w:val="000000"/>
                <w:kern w:val="0"/>
                <w:sz w:val="24"/>
                <w:szCs w:val="24"/>
                <w:lang w:val="zh-CN" w:bidi="zh-CN"/>
              </w:rPr>
              <w:t>，机器内部设计有多个温度感应原件和加热模块，在确保系统平稳加热的同时不产生边缘效应及挥发，确保持续稳定的板内外加热</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6. </w:t>
            </w:r>
            <w:r>
              <w:rPr>
                <w:rFonts w:ascii="楷体_GB2312" w:eastAsia="楷体_GB2312" w:hAnsi="楷体_GB2312" w:cs="楷体_GB2312" w:hint="eastAsia"/>
                <w:color w:val="000000"/>
                <w:kern w:val="0"/>
                <w:sz w:val="24"/>
                <w:szCs w:val="24"/>
                <w:lang w:val="zh-CN" w:bidi="zh-CN"/>
              </w:rPr>
              <w:t>凝集控制模块可以在孔板的顶底部进行梯度温控，保证在密封的孔板内不会因为凝集而产生误差检测</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7. </w:t>
            </w:r>
            <w:r>
              <w:rPr>
                <w:rFonts w:ascii="楷体_GB2312" w:eastAsia="楷体_GB2312" w:hAnsi="楷体_GB2312" w:cs="楷体_GB2312" w:hint="eastAsia"/>
                <w:color w:val="000000"/>
                <w:kern w:val="0"/>
                <w:sz w:val="24"/>
                <w:szCs w:val="24"/>
                <w:lang w:val="zh-CN" w:bidi="zh-CN"/>
              </w:rPr>
              <w:t>振荡方式：轨道式，速度可调，其优化的震荡模式可以保证细胞在长时间的动态分析中不会产生凝集，同时满足细菌和酵母生长对检测产品的性能要求</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8.</w:t>
            </w:r>
            <w:r>
              <w:rPr>
                <w:rFonts w:ascii="楷体_GB2312" w:eastAsia="楷体_GB2312" w:hAnsi="楷体_GB2312" w:cs="楷体_GB2312" w:hint="eastAsia"/>
                <w:color w:val="000000"/>
                <w:kern w:val="0"/>
                <w:sz w:val="24"/>
                <w:szCs w:val="24"/>
                <w:lang w:val="zh-CN" w:bidi="zh-CN"/>
              </w:rPr>
              <w:t>软件：提供用户控制，数据</w:t>
            </w:r>
            <w:r>
              <w:rPr>
                <w:rFonts w:ascii="楷体_GB2312" w:eastAsia="楷体_GB2312" w:hAnsi="楷体_GB2312" w:cs="楷体_GB2312" w:hint="eastAsia"/>
                <w:color w:val="000000"/>
                <w:kern w:val="0"/>
                <w:sz w:val="24"/>
                <w:szCs w:val="24"/>
                <w:lang w:val="zh-CN" w:bidi="zh-CN"/>
              </w:rPr>
              <w:t>收集和分析，通过专用程序控制，可以同时完成数据的获取及针对微生物学的数据分析</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9.</w:t>
            </w:r>
            <w:r>
              <w:rPr>
                <w:rFonts w:ascii="楷体_GB2312" w:eastAsia="楷体_GB2312" w:hAnsi="楷体_GB2312" w:cs="楷体_GB2312" w:hint="eastAsia"/>
                <w:color w:val="000000"/>
                <w:kern w:val="0"/>
                <w:sz w:val="24"/>
                <w:szCs w:val="24"/>
                <w:lang w:val="zh-CN" w:bidi="zh-CN"/>
              </w:rPr>
              <w:t>光源：长寿命</w:t>
            </w:r>
            <w:r>
              <w:rPr>
                <w:rFonts w:ascii="楷体_GB2312" w:eastAsia="楷体_GB2312" w:hAnsi="楷体_GB2312" w:cs="楷体_GB2312" w:hint="eastAsia"/>
                <w:color w:val="000000"/>
                <w:kern w:val="0"/>
                <w:sz w:val="24"/>
                <w:szCs w:val="24"/>
                <w:lang w:val="zh-CN" w:bidi="zh-CN"/>
              </w:rPr>
              <w:t>LED</w:t>
            </w:r>
            <w:r>
              <w:rPr>
                <w:rFonts w:ascii="楷体_GB2312" w:eastAsia="楷体_GB2312" w:hAnsi="楷体_GB2312" w:cs="楷体_GB2312" w:hint="eastAsia"/>
                <w:color w:val="000000"/>
                <w:kern w:val="0"/>
                <w:sz w:val="24"/>
                <w:szCs w:val="24"/>
                <w:lang w:val="zh-CN" w:bidi="zh-CN"/>
              </w:rPr>
              <w:t>光源，冷光源具有更低的光毒性</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 xml:space="preserve">10. </w:t>
            </w:r>
            <w:r>
              <w:rPr>
                <w:rFonts w:ascii="楷体_GB2312" w:eastAsia="楷体_GB2312" w:hAnsi="楷体_GB2312" w:cs="楷体_GB2312" w:hint="eastAsia"/>
                <w:color w:val="000000"/>
                <w:kern w:val="0"/>
                <w:sz w:val="24"/>
                <w:szCs w:val="24"/>
                <w:lang w:val="zh-CN" w:bidi="zh-CN"/>
              </w:rPr>
              <w:t>检测器：</w:t>
            </w:r>
            <w:r>
              <w:rPr>
                <w:rFonts w:ascii="楷体_GB2312" w:eastAsia="楷体_GB2312" w:hAnsi="楷体_GB2312" w:cs="楷体_GB2312" w:hint="eastAsia"/>
                <w:color w:val="000000"/>
                <w:kern w:val="0"/>
                <w:sz w:val="24"/>
                <w:szCs w:val="24"/>
                <w:lang w:val="zh-CN" w:bidi="zh-CN"/>
              </w:rPr>
              <w:t>2</w:t>
            </w:r>
            <w:r>
              <w:rPr>
                <w:rFonts w:ascii="楷体_GB2312" w:eastAsia="楷体_GB2312" w:hAnsi="楷体_GB2312" w:cs="楷体_GB2312" w:hint="eastAsia"/>
                <w:color w:val="000000"/>
                <w:kern w:val="0"/>
                <w:sz w:val="24"/>
                <w:szCs w:val="24"/>
                <w:lang w:val="zh-CN" w:bidi="zh-CN"/>
              </w:rPr>
              <w:t>个光电二极管</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11. </w:t>
            </w:r>
            <w:r>
              <w:rPr>
                <w:rFonts w:ascii="楷体_GB2312" w:eastAsia="楷体_GB2312" w:hAnsi="楷体_GB2312" w:cs="楷体_GB2312" w:hint="eastAsia"/>
                <w:color w:val="000000"/>
                <w:kern w:val="0"/>
                <w:sz w:val="24"/>
                <w:szCs w:val="24"/>
                <w:lang w:val="zh-CN" w:bidi="zh-CN"/>
              </w:rPr>
              <w:t>波长范围：</w:t>
            </w:r>
            <w:r>
              <w:rPr>
                <w:rFonts w:ascii="楷体_GB2312" w:eastAsia="楷体_GB2312" w:hAnsi="楷体_GB2312" w:cs="楷体_GB2312" w:hint="eastAsia"/>
                <w:color w:val="000000"/>
                <w:kern w:val="0"/>
                <w:sz w:val="24"/>
                <w:szCs w:val="24"/>
                <w:lang w:val="zh-CN" w:bidi="zh-CN"/>
              </w:rPr>
              <w:t>560 nm - 640 nm</w:t>
            </w:r>
            <w:r>
              <w:rPr>
                <w:rFonts w:ascii="楷体_GB2312" w:eastAsia="楷体_GB2312" w:hAnsi="楷体_GB2312" w:cs="楷体_GB2312" w:hint="eastAsia"/>
                <w:color w:val="000000"/>
                <w:kern w:val="0"/>
                <w:sz w:val="24"/>
                <w:szCs w:val="24"/>
                <w:lang w:val="zh-CN" w:bidi="zh-CN"/>
              </w:rPr>
              <w:t>可选，</w:t>
            </w:r>
            <w:proofErr w:type="gramStart"/>
            <w:r>
              <w:rPr>
                <w:rFonts w:ascii="楷体_GB2312" w:eastAsia="楷体_GB2312" w:hAnsi="楷体_GB2312" w:cs="楷体_GB2312" w:hint="eastAsia"/>
                <w:color w:val="000000"/>
                <w:kern w:val="0"/>
                <w:sz w:val="24"/>
                <w:szCs w:val="24"/>
                <w:lang w:val="zh-CN" w:bidi="zh-CN"/>
              </w:rPr>
              <w:t>标配</w:t>
            </w:r>
            <w:proofErr w:type="gramEnd"/>
            <w:r>
              <w:rPr>
                <w:rFonts w:ascii="楷体_GB2312" w:eastAsia="楷体_GB2312" w:hAnsi="楷体_GB2312" w:cs="楷体_GB2312" w:hint="eastAsia"/>
                <w:color w:val="000000"/>
                <w:kern w:val="0"/>
                <w:sz w:val="24"/>
                <w:szCs w:val="24"/>
                <w:lang w:val="zh-CN" w:bidi="zh-CN"/>
              </w:rPr>
              <w:t>600nm</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12. </w:t>
            </w:r>
            <w:r>
              <w:rPr>
                <w:rFonts w:ascii="楷体_GB2312" w:eastAsia="楷体_GB2312" w:hAnsi="楷体_GB2312" w:cs="楷体_GB2312" w:hint="eastAsia"/>
                <w:color w:val="000000"/>
                <w:kern w:val="0"/>
                <w:sz w:val="24"/>
                <w:szCs w:val="24"/>
                <w:lang w:val="zh-CN" w:bidi="zh-CN"/>
              </w:rPr>
              <w:t>动态范围：</w:t>
            </w:r>
            <w:r>
              <w:rPr>
                <w:rFonts w:ascii="楷体_GB2312" w:eastAsia="楷体_GB2312" w:hAnsi="楷体_GB2312" w:cs="楷体_GB2312" w:hint="eastAsia"/>
                <w:color w:val="000000"/>
                <w:kern w:val="0"/>
                <w:sz w:val="24"/>
                <w:szCs w:val="24"/>
                <w:lang w:val="zh-CN" w:bidi="zh-CN"/>
              </w:rPr>
              <w:t>0 - 4.0 OD</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13. </w:t>
            </w:r>
            <w:r>
              <w:rPr>
                <w:rFonts w:ascii="楷体_GB2312" w:eastAsia="楷体_GB2312" w:hAnsi="楷体_GB2312" w:cs="楷体_GB2312" w:hint="eastAsia"/>
                <w:color w:val="000000"/>
                <w:kern w:val="0"/>
                <w:sz w:val="24"/>
                <w:szCs w:val="24"/>
                <w:lang w:val="zh-CN" w:bidi="zh-CN"/>
              </w:rPr>
              <w:t>分辨率：</w:t>
            </w:r>
            <w:r>
              <w:rPr>
                <w:rFonts w:ascii="楷体_GB2312" w:eastAsia="楷体_GB2312" w:hAnsi="楷体_GB2312" w:cs="楷体_GB2312" w:hint="eastAsia"/>
                <w:color w:val="000000"/>
                <w:kern w:val="0"/>
                <w:sz w:val="24"/>
                <w:szCs w:val="24"/>
                <w:lang w:val="zh-CN" w:bidi="zh-CN"/>
              </w:rPr>
              <w:t>0.001 OD</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14. </w:t>
            </w:r>
            <w:r>
              <w:rPr>
                <w:rFonts w:ascii="楷体_GB2312" w:eastAsia="楷体_GB2312" w:hAnsi="楷体_GB2312" w:cs="楷体_GB2312" w:hint="eastAsia"/>
                <w:color w:val="000000"/>
                <w:kern w:val="0"/>
                <w:sz w:val="24"/>
                <w:szCs w:val="24"/>
                <w:lang w:val="zh-CN" w:bidi="zh-CN"/>
              </w:rPr>
              <w:t>读取速度</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60</w:t>
            </w:r>
            <w:r>
              <w:rPr>
                <w:rFonts w:ascii="楷体_GB2312" w:eastAsia="楷体_GB2312" w:hAnsi="楷体_GB2312" w:cs="楷体_GB2312" w:hint="eastAsia"/>
                <w:color w:val="000000"/>
                <w:kern w:val="0"/>
                <w:sz w:val="24"/>
                <w:szCs w:val="24"/>
                <w:lang w:val="zh-CN" w:bidi="zh-CN"/>
              </w:rPr>
              <w:t>秒</w:t>
            </w:r>
            <w:r>
              <w:rPr>
                <w:rFonts w:ascii="楷体_GB2312" w:eastAsia="楷体_GB2312" w:hAnsi="楷体_GB2312" w:cs="楷体_GB2312" w:hint="eastAsia"/>
                <w:color w:val="000000"/>
                <w:kern w:val="0"/>
                <w:sz w:val="24"/>
                <w:szCs w:val="24"/>
                <w:lang w:val="zh-CN" w:bidi="zh-CN"/>
              </w:rPr>
              <w:t>/</w:t>
            </w:r>
            <w:r>
              <w:rPr>
                <w:rFonts w:ascii="楷体_GB2312" w:eastAsia="楷体_GB2312" w:hAnsi="楷体_GB2312" w:cs="楷体_GB2312" w:hint="eastAsia"/>
                <w:color w:val="000000"/>
                <w:kern w:val="0"/>
                <w:sz w:val="24"/>
                <w:szCs w:val="24"/>
                <w:lang w:val="zh-CN" w:bidi="zh-CN"/>
              </w:rPr>
              <w:t>板</w:t>
            </w:r>
          </w:p>
          <w:p w:rsidR="00361B6A" w:rsidRDefault="00DF5E72">
            <w:pPr>
              <w:autoSpaceDE w:val="0"/>
              <w:autoSpaceDN w:val="0"/>
              <w:spacing w:line="420" w:lineRule="exact"/>
              <w:rPr>
                <w:rFonts w:ascii="楷体_GB2312" w:eastAsia="楷体_GB2312" w:hAnsi="楷体_GB2312" w:cs="楷体_GB2312"/>
                <w:color w:val="000000"/>
                <w:kern w:val="0"/>
                <w:sz w:val="24"/>
                <w:szCs w:val="24"/>
                <w:lang w:val="zh-CN" w:bidi="zh-CN"/>
              </w:rPr>
            </w:pPr>
            <w:r>
              <w:rPr>
                <w:rFonts w:ascii="楷体_GB2312" w:eastAsia="楷体_GB2312" w:hAnsi="楷体_GB2312" w:cs="楷体_GB2312" w:hint="eastAsia"/>
                <w:color w:val="000000"/>
                <w:kern w:val="0"/>
                <w:sz w:val="24"/>
                <w:szCs w:val="24"/>
                <w:lang w:val="zh-CN" w:bidi="zh-CN"/>
              </w:rPr>
              <w:t xml:space="preserve">15. </w:t>
            </w:r>
            <w:r>
              <w:rPr>
                <w:rFonts w:ascii="楷体_GB2312" w:eastAsia="楷体_GB2312" w:hAnsi="楷体_GB2312" w:cs="楷体_GB2312" w:hint="eastAsia"/>
                <w:color w:val="000000"/>
                <w:kern w:val="0"/>
                <w:sz w:val="24"/>
                <w:szCs w:val="24"/>
                <w:lang w:val="zh-CN" w:bidi="zh-CN"/>
              </w:rPr>
              <w:t>最小动态间隔：</w:t>
            </w:r>
            <w:r>
              <w:rPr>
                <w:rFonts w:ascii="楷体_GB2312" w:eastAsia="楷体_GB2312" w:hAnsi="楷体_GB2312" w:cs="楷体_GB2312" w:hint="eastAsia"/>
                <w:color w:val="000000"/>
                <w:kern w:val="0"/>
                <w:sz w:val="24"/>
                <w:szCs w:val="24"/>
                <w:lang w:val="zh-CN" w:bidi="zh-CN"/>
              </w:rPr>
              <w:t>2 min 30</w:t>
            </w:r>
            <w:r>
              <w:rPr>
                <w:rFonts w:ascii="楷体_GB2312" w:eastAsia="楷体_GB2312" w:hAnsi="楷体_GB2312" w:cs="楷体_GB2312" w:hint="eastAsia"/>
                <w:color w:val="000000"/>
                <w:kern w:val="0"/>
                <w:sz w:val="24"/>
                <w:szCs w:val="24"/>
                <w:lang w:val="zh-CN" w:bidi="zh-CN"/>
              </w:rPr>
              <w:t>秒每板</w:t>
            </w:r>
            <w:r>
              <w:rPr>
                <w:rFonts w:ascii="楷体_GB2312" w:eastAsia="楷体_GB2312" w:hAnsi="楷体_GB2312" w:cs="楷体_GB2312" w:hint="eastAsia"/>
                <w:color w:val="000000"/>
                <w:kern w:val="0"/>
                <w:sz w:val="24"/>
                <w:szCs w:val="24"/>
                <w:lang w:val="zh-CN" w:bidi="zh-CN"/>
              </w:rPr>
              <w:t>(60</w:t>
            </w:r>
            <w:r>
              <w:rPr>
                <w:rFonts w:ascii="楷体_GB2312" w:eastAsia="楷体_GB2312" w:hAnsi="楷体_GB2312" w:cs="楷体_GB2312" w:hint="eastAsia"/>
                <w:color w:val="000000"/>
                <w:kern w:val="0"/>
                <w:sz w:val="24"/>
                <w:szCs w:val="24"/>
                <w:lang w:val="zh-CN" w:bidi="zh-CN"/>
              </w:rPr>
              <w:t>秒读取时间；</w:t>
            </w:r>
            <w:r>
              <w:rPr>
                <w:rFonts w:ascii="楷体_GB2312" w:eastAsia="楷体_GB2312" w:hAnsi="楷体_GB2312" w:cs="楷体_GB2312" w:hint="eastAsia"/>
                <w:color w:val="000000"/>
                <w:kern w:val="0"/>
                <w:sz w:val="24"/>
                <w:szCs w:val="24"/>
                <w:lang w:val="zh-CN" w:bidi="zh-CN"/>
              </w:rPr>
              <w:t>90</w:t>
            </w:r>
            <w:r>
              <w:rPr>
                <w:rFonts w:ascii="楷体_GB2312" w:eastAsia="楷体_GB2312" w:hAnsi="楷体_GB2312" w:cs="楷体_GB2312" w:hint="eastAsia"/>
                <w:color w:val="000000"/>
                <w:kern w:val="0"/>
                <w:sz w:val="24"/>
                <w:szCs w:val="24"/>
                <w:lang w:val="zh-CN" w:bidi="zh-CN"/>
              </w:rPr>
              <w:t>秒震动时间</w:t>
            </w:r>
            <w:r>
              <w:rPr>
                <w:rFonts w:ascii="楷体_GB2312" w:eastAsia="楷体_GB2312" w:hAnsi="楷体_GB2312" w:cs="楷体_GB2312" w:hint="eastAsia"/>
                <w:color w:val="000000"/>
                <w:kern w:val="0"/>
                <w:sz w:val="24"/>
                <w:szCs w:val="24"/>
                <w:lang w:val="zh-CN" w:bidi="zh-CN"/>
              </w:rPr>
              <w:t>)</w:t>
            </w:r>
          </w:p>
          <w:p w:rsidR="00361B6A" w:rsidRDefault="00DF5E72">
            <w:pPr>
              <w:autoSpaceDE w:val="0"/>
              <w:autoSpaceDN w:val="0"/>
              <w:spacing w:line="420" w:lineRule="exact"/>
              <w:rPr>
                <w:rFonts w:ascii="楷体_GB2312" w:eastAsia="楷体_GB2312" w:hAnsi="楷体_GB2312" w:cs="楷体_GB2312"/>
                <w:kern w:val="0"/>
                <w:sz w:val="24"/>
                <w:szCs w:val="24"/>
              </w:rPr>
            </w:pPr>
            <w:r>
              <w:rPr>
                <w:rFonts w:ascii="楷体_GB2312" w:eastAsia="楷体_GB2312" w:hAnsi="楷体_GB2312" w:cs="楷体_GB2312" w:hint="eastAsia"/>
                <w:color w:val="000000"/>
                <w:kern w:val="0"/>
                <w:sz w:val="24"/>
                <w:szCs w:val="24"/>
                <w:lang w:val="zh-CN" w:bidi="zh-CN"/>
              </w:rPr>
              <w:t xml:space="preserve">16. </w:t>
            </w:r>
            <w:r>
              <w:rPr>
                <w:rFonts w:ascii="楷体_GB2312" w:eastAsia="楷体_GB2312" w:hAnsi="楷体_GB2312" w:cs="楷体_GB2312" w:hint="eastAsia"/>
                <w:color w:val="000000"/>
                <w:kern w:val="0"/>
                <w:sz w:val="24"/>
                <w:szCs w:val="24"/>
                <w:lang w:val="zh-CN" w:bidi="zh-CN"/>
              </w:rPr>
              <w:t>配置：主机一台；仪器控制分析软件一套；电脑（国内采购）一套</w:t>
            </w:r>
          </w:p>
        </w:tc>
      </w:tr>
      <w:tr w:rsidR="00361B6A">
        <w:trPr>
          <w:jc w:val="center"/>
        </w:trPr>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申购学院</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生命科学</w:t>
            </w:r>
            <w:r>
              <w:rPr>
                <w:rFonts w:ascii="仿宋_GB2312" w:eastAsia="仿宋_GB2312" w:hint="eastAsia"/>
                <w:b/>
                <w:bCs/>
                <w:sz w:val="24"/>
                <w:szCs w:val="24"/>
              </w:rPr>
              <w:t>学院</w:t>
            </w:r>
          </w:p>
        </w:tc>
      </w:tr>
      <w:tr w:rsidR="00361B6A">
        <w:trPr>
          <w:jc w:val="center"/>
        </w:trPr>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预算金额</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44</w:t>
            </w:r>
            <w:r>
              <w:rPr>
                <w:rFonts w:ascii="仿宋_GB2312" w:eastAsia="仿宋_GB2312" w:hint="eastAsia"/>
                <w:b/>
                <w:bCs/>
                <w:sz w:val="24"/>
                <w:szCs w:val="24"/>
              </w:rPr>
              <w:t>万元</w:t>
            </w:r>
            <w:r>
              <w:rPr>
                <w:rFonts w:ascii="仿宋_GB2312" w:eastAsia="仿宋_GB2312" w:hint="eastAsia"/>
                <w:b/>
                <w:bCs/>
                <w:sz w:val="24"/>
                <w:szCs w:val="24"/>
              </w:rPr>
              <w:t>/</w:t>
            </w:r>
            <w:r>
              <w:rPr>
                <w:rFonts w:ascii="仿宋_GB2312" w:eastAsia="仿宋_GB2312" w:hint="eastAsia"/>
                <w:b/>
                <w:bCs/>
                <w:sz w:val="24"/>
                <w:szCs w:val="24"/>
              </w:rPr>
              <w:t>台</w:t>
            </w:r>
          </w:p>
        </w:tc>
      </w:tr>
      <w:tr w:rsidR="00361B6A">
        <w:trPr>
          <w:trHeight w:val="522"/>
          <w:jc w:val="center"/>
        </w:trPr>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论证结果</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1B6A" w:rsidRDefault="00DF5E72">
            <w:pPr>
              <w:widowControl/>
              <w:spacing w:line="360" w:lineRule="auto"/>
              <w:jc w:val="center"/>
              <w:rPr>
                <w:rFonts w:ascii="仿宋_GB2312" w:eastAsia="仿宋_GB2312"/>
                <w:b/>
                <w:bCs/>
                <w:sz w:val="24"/>
                <w:szCs w:val="24"/>
              </w:rPr>
            </w:pPr>
            <w:r>
              <w:rPr>
                <w:rFonts w:ascii="仿宋_GB2312" w:eastAsia="仿宋_GB2312" w:hint="eastAsia"/>
                <w:b/>
                <w:bCs/>
                <w:sz w:val="24"/>
                <w:szCs w:val="24"/>
              </w:rPr>
              <w:t>拟同意购买</w:t>
            </w:r>
          </w:p>
        </w:tc>
      </w:tr>
    </w:tbl>
    <w:p w:rsidR="00361B6A" w:rsidRDefault="00361B6A">
      <w:pPr>
        <w:rPr>
          <w:rFonts w:ascii="楷体_GB2312" w:eastAsia="楷体_GB2312" w:hAnsi="楷体_GB2312" w:cs="楷体_GB2312"/>
          <w:color w:val="333333"/>
          <w:kern w:val="0"/>
          <w:sz w:val="28"/>
          <w:szCs w:val="28"/>
        </w:rPr>
      </w:pPr>
    </w:p>
    <w:sectPr w:rsidR="00361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wMGEwMDJiZTk0YmQ5MWFiMmViMzRkZWYxNGYyYWQifQ=="/>
  </w:docVars>
  <w:rsids>
    <w:rsidRoot w:val="00610C4A"/>
    <w:rsid w:val="001343C9"/>
    <w:rsid w:val="00361B6A"/>
    <w:rsid w:val="00610C4A"/>
    <w:rsid w:val="009B6111"/>
    <w:rsid w:val="00D01724"/>
    <w:rsid w:val="00DF5E72"/>
    <w:rsid w:val="00EB5077"/>
    <w:rsid w:val="03697581"/>
    <w:rsid w:val="0B5F535F"/>
    <w:rsid w:val="14FD490E"/>
    <w:rsid w:val="15670DD1"/>
    <w:rsid w:val="18AE531E"/>
    <w:rsid w:val="1B6671F1"/>
    <w:rsid w:val="2B601BC4"/>
    <w:rsid w:val="427D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EC940-C4D4-4B09-95D5-E03BCE13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563C1" w:themeColor="hyperlink"/>
      <w:u w:val="single"/>
    </w:rPr>
  </w:style>
  <w:style w:type="paragraph" w:styleId="a5">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dc:creator>
  <cp:lastModifiedBy>adm</cp:lastModifiedBy>
  <cp:revision>5</cp:revision>
  <dcterms:created xsi:type="dcterms:W3CDTF">2021-07-06T01:08:00Z</dcterms:created>
  <dcterms:modified xsi:type="dcterms:W3CDTF">2022-09-09T01:12:00Z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6CBC6C4874A7407CBD7C797A307800BE</vt:lpwstr>
  </property>
</Properties>
</file>