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CF" w:rsidRDefault="00377B6B">
      <w:pP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/>
        </w:rPr>
        <w:t>附件：</w:t>
      </w:r>
    </w:p>
    <w:tbl>
      <w:tblPr>
        <w:tblW w:w="10268" w:type="dxa"/>
        <w:tblInd w:w="-845" w:type="dxa"/>
        <w:tblLook w:val="04A0"/>
      </w:tblPr>
      <w:tblGrid>
        <w:gridCol w:w="1538"/>
        <w:gridCol w:w="636"/>
        <w:gridCol w:w="8094"/>
      </w:tblGrid>
      <w:tr w:rsidR="003A28CF">
        <w:trPr>
          <w:trHeight w:val="454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设备中文名称</w:t>
            </w:r>
          </w:p>
        </w:tc>
        <w:tc>
          <w:tcPr>
            <w:tcW w:w="8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荧光定量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 xml:space="preserve"> PCR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仪</w:t>
            </w:r>
          </w:p>
        </w:tc>
      </w:tr>
      <w:tr w:rsidR="003A28CF">
        <w:trPr>
          <w:trHeight w:val="411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设备外文名称</w:t>
            </w:r>
          </w:p>
        </w:tc>
        <w:tc>
          <w:tcPr>
            <w:tcW w:w="8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jc w:val="left"/>
              <w:rPr>
                <w:rFonts w:asci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 xml:space="preserve">Real-Time PCR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  <w:t>Instrument</w:t>
            </w:r>
          </w:p>
        </w:tc>
      </w:tr>
      <w:tr w:rsidR="003A28CF">
        <w:trPr>
          <w:trHeight w:val="411"/>
        </w:trPr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主要技术指标</w:t>
            </w:r>
          </w:p>
        </w:tc>
        <w:tc>
          <w:tcPr>
            <w:tcW w:w="80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主要功能：能够完成绝对定量、相对定量、基于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MGB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探针的高成功率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SNP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分析和熔解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曲线分析；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热循环采用帕尔贴效应系统，加热冷却方式为半导体；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温度控制范围：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99.9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4.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加热模块可选：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0.2ml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孔模块，反应体积：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10-100ul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5.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▲具有温度梯度功能：由≥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个独立控温区组成，可分别设定温度参数，在一台仪器上同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时进行≥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个不同样品的不同温度梯度实验；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相邻温控区温度差异≥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℃，最大温度差异为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7.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激发光源为高亮度白光半导体光源，工作寿命≥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小时；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8.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★检测系统：低温高分辨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CMOS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，所有反应孔同时采集荧光数据，不同孔之间不存在扫描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时间差；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9.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★荧光通道数：≥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个荧光激发通道，≥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个荧光检测通道，可以同时进行≥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重定量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10.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能同时检测并区分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VIC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荧光和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TAMRA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荧光，以用于基因拷贝数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(CNV)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检测；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光学激发检测范围：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600 nm/500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640 nm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▲支持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ROX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荧光校正去除移液误差和耗材透光度引起的物理误差；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安装时已校准染料：通道一：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FAM, SYBR Green I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；通道二：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VIC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；通道三：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NED, ABY, TAMRA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通道四：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JUN, ROX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14.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温度均一性：≤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C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15.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温度准确性：≤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C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16.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▲模块升降温速率≥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秒；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17.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反应模式：标准模式内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个循环≤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小时；快速模式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个循环≤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分钟；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18.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检测灵敏度：≤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个拷贝；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19.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检测精密度：≤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倍拷贝数差异；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20.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动态范围：≥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个数量级；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21.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可选高分辨率熔解曲线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HRM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分析功能，分辨率最小至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0.015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22.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▲内置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英寸触摸屏，触摸板并可查看实时荧光定量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PCR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实验；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23.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仪器自带存储空间≥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10GB,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可储存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2000-2500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次实验数据；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24.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仪器具有断电后一小时之内恢复来电实验自动恢复的功能；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25.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仪器的耗材和试剂盒均为开放式；用户可选择原厂同品牌多款耗材和试剂，也可选择市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场上其他厂家的耗材和试剂：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</w:p>
          <w:p w:rsidR="003A28CF" w:rsidRDefault="00377B6B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26.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仪器配置：荧光定量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PCR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主机一台，电脑工作站一套；数据采集和分析软件一套；引物和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探针设计软件一套；安装试剂盒一套。</w:t>
            </w:r>
          </w:p>
          <w:p w:rsidR="003A28CF" w:rsidRDefault="003A28C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/>
              </w:rPr>
            </w:pPr>
          </w:p>
        </w:tc>
      </w:tr>
      <w:tr w:rsidR="003A28CF">
        <w:trPr>
          <w:trHeight w:val="705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autoSpaceDE w:val="0"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  <w:lang/>
              </w:rPr>
              <w:t>申购学院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autoSpaceDE w:val="0"/>
              <w:spacing w:line="200" w:lineRule="exact"/>
              <w:ind w:firstLineChars="500" w:firstLine="1054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华南农业大学兽医学院</w:t>
            </w:r>
          </w:p>
        </w:tc>
      </w:tr>
      <w:tr w:rsidR="003A28CF">
        <w:trPr>
          <w:trHeight w:val="569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autoSpaceDE w:val="0"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  <w:lang/>
              </w:rPr>
              <w:t>预算金额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autoSpaceDE w:val="0"/>
              <w:spacing w:line="200" w:lineRule="exact"/>
              <w:ind w:firstLineChars="500" w:firstLine="1054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人民币：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33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万元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/>
              </w:rPr>
              <w:t>台</w:t>
            </w:r>
            <w:bookmarkStart w:id="0" w:name="_GoBack"/>
            <w:bookmarkEnd w:id="0"/>
          </w:p>
        </w:tc>
      </w:tr>
      <w:tr w:rsidR="003A28CF">
        <w:trPr>
          <w:trHeight w:val="657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autoSpaceDE w:val="0"/>
              <w:spacing w:line="2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  <w:lang/>
              </w:rPr>
              <w:t>论证结果</w:t>
            </w:r>
          </w:p>
        </w:tc>
        <w:tc>
          <w:tcPr>
            <w:tcW w:w="87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8CF" w:rsidRDefault="00377B6B">
            <w:pPr>
              <w:widowControl/>
              <w:autoSpaceDE w:val="0"/>
              <w:spacing w:line="200" w:lineRule="exact"/>
              <w:ind w:firstLineChars="400" w:firstLine="964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sz w:val="24"/>
                <w:szCs w:val="24"/>
                <w:lang/>
              </w:rPr>
              <w:t>拟同意购买</w:t>
            </w:r>
          </w:p>
        </w:tc>
      </w:tr>
    </w:tbl>
    <w:p w:rsidR="003A28CF" w:rsidRDefault="003A28CF">
      <w:pPr>
        <w:autoSpaceDE w:val="0"/>
        <w:spacing w:line="200" w:lineRule="exact"/>
        <w:rPr>
          <w:rFonts w:ascii="仿宋_GB2312" w:eastAsia="仿宋_GB2312" w:hAnsi="等线" w:cs="Times New Roman"/>
          <w:sz w:val="32"/>
          <w:szCs w:val="32"/>
        </w:rPr>
      </w:pPr>
    </w:p>
    <w:p w:rsidR="003A28CF" w:rsidRDefault="003A28CF">
      <w:pPr>
        <w:autoSpaceDE w:val="0"/>
        <w:rPr>
          <w:rFonts w:ascii="宋体" w:eastAsia="宋体" w:hAnsi="宋体" w:cs="宋体"/>
          <w:sz w:val="32"/>
          <w:szCs w:val="32"/>
          <w:lang/>
        </w:rPr>
      </w:pPr>
    </w:p>
    <w:p w:rsidR="003A28CF" w:rsidRDefault="003A28CF">
      <w:pPr>
        <w:rPr>
          <w:rFonts w:ascii="楷体_GB2312" w:eastAsia="楷体_GB2312" w:hAnsi="楷体_GB2312" w:cs="楷体_GB2312"/>
          <w:color w:val="333333"/>
          <w:kern w:val="0"/>
          <w:sz w:val="28"/>
          <w:szCs w:val="28"/>
        </w:rPr>
      </w:pPr>
    </w:p>
    <w:sectPr w:rsidR="003A28CF" w:rsidSect="003A28CF">
      <w:pgSz w:w="11906" w:h="16838"/>
      <w:pgMar w:top="646" w:right="1800" w:bottom="42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B6B" w:rsidRDefault="00377B6B" w:rsidP="003B1870">
      <w:r>
        <w:separator/>
      </w:r>
    </w:p>
  </w:endnote>
  <w:endnote w:type="continuationSeparator" w:id="1">
    <w:p w:rsidR="00377B6B" w:rsidRDefault="00377B6B" w:rsidP="003B1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B6B" w:rsidRDefault="00377B6B" w:rsidP="003B1870">
      <w:r>
        <w:separator/>
      </w:r>
    </w:p>
  </w:footnote>
  <w:footnote w:type="continuationSeparator" w:id="1">
    <w:p w:rsidR="00377B6B" w:rsidRDefault="00377B6B" w:rsidP="003B18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jYwMGEwMDJiZTk0YmQ5MWFiMmViMzRkZWYxNGYyYWQifQ=="/>
  </w:docVars>
  <w:rsids>
    <w:rsidRoot w:val="00610C4A"/>
    <w:rsid w:val="001343C9"/>
    <w:rsid w:val="00377B6B"/>
    <w:rsid w:val="003A28CF"/>
    <w:rsid w:val="003B1870"/>
    <w:rsid w:val="00610C4A"/>
    <w:rsid w:val="009B6111"/>
    <w:rsid w:val="00D01724"/>
    <w:rsid w:val="00EB5077"/>
    <w:rsid w:val="0A647707"/>
    <w:rsid w:val="0B5F535F"/>
    <w:rsid w:val="14FD490E"/>
    <w:rsid w:val="1B6671F1"/>
    <w:rsid w:val="1DB013C6"/>
    <w:rsid w:val="427D7A20"/>
    <w:rsid w:val="45B7027A"/>
    <w:rsid w:val="490A39C0"/>
    <w:rsid w:val="6D8309BC"/>
    <w:rsid w:val="7D85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3A28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B1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18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18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Company>神州网信技术有限公司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3b</dc:creator>
  <cp:lastModifiedBy>栾长萍</cp:lastModifiedBy>
  <cp:revision>2</cp:revision>
  <dcterms:created xsi:type="dcterms:W3CDTF">2021-07-06T01:08:00Z</dcterms:created>
  <dcterms:modified xsi:type="dcterms:W3CDTF">2022-12-23T09:22:00Z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9514325D6F604A758791FF01F3C32588</vt:lpwstr>
  </property>
</Properties>
</file>