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tbl>
      <w:tblPr>
        <w:tblStyle w:val="4"/>
        <w:tblW w:w="937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903"/>
        <w:gridCol w:w="746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设备名称</w:t>
            </w:r>
          </w:p>
        </w:tc>
        <w:tc>
          <w:tcPr>
            <w:tcW w:w="7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碳氮元素分析仪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主要技术参数</w:t>
            </w:r>
          </w:p>
        </w:tc>
        <w:tc>
          <w:tcPr>
            <w:tcW w:w="7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.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分离方式：采用气相</w:t>
            </w:r>
            <w:r>
              <w:rPr>
                <w:rFonts w:hint="eastAsia" w:ascii="宋体" w:hAnsi="宋体"/>
                <w:sz w:val="24"/>
              </w:rPr>
              <w:t>柱，非吸附柱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2. </w:t>
            </w:r>
            <w:r>
              <w:rPr>
                <w:rFonts w:hint="eastAsia" w:ascii="宋体" w:hAnsi="宋体"/>
                <w:bCs/>
                <w:sz w:val="24"/>
              </w:rPr>
              <w:t>进样量范围</w:t>
            </w:r>
            <w:r>
              <w:rPr>
                <w:rFonts w:hint="eastAsia" w:ascii="宋体" w:hAnsi="宋体"/>
                <w:sz w:val="24"/>
              </w:rPr>
              <w:t>：可达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 xml:space="preserve">00 mg,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3. </w:t>
            </w:r>
            <w:r>
              <w:rPr>
                <w:rFonts w:hint="eastAsia" w:ascii="宋体" w:hAnsi="宋体"/>
                <w:bCs/>
                <w:sz w:val="24"/>
              </w:rPr>
              <w:t>测量浓度范围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0.01</w:t>
            </w:r>
            <w:r>
              <w:rPr>
                <w:rFonts w:hint="eastAsia" w:ascii="宋体" w:hAnsi="宋体"/>
                <w:sz w:val="24"/>
              </w:rPr>
              <w:t>%～100%；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4</w:t>
            </w:r>
            <w:r>
              <w:rPr>
                <w:rFonts w:ascii="宋体" w:hAnsi="宋体"/>
                <w:bCs/>
                <w:sz w:val="24"/>
              </w:rPr>
              <w:t xml:space="preserve">. </w:t>
            </w:r>
            <w:r>
              <w:rPr>
                <w:rFonts w:hint="eastAsia" w:ascii="宋体" w:hAnsi="宋体"/>
                <w:sz w:val="24"/>
              </w:rPr>
              <w:t>绝对量测量范围不窄于：C</w:t>
            </w:r>
            <w:r>
              <w:rPr>
                <w:rFonts w:ascii="宋体" w:hAnsi="宋体"/>
                <w:sz w:val="24"/>
              </w:rPr>
              <w:t xml:space="preserve"> 0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80</w:t>
            </w:r>
            <w:r>
              <w:rPr>
                <w:rFonts w:hint="eastAsia" w:ascii="宋体" w:hAnsi="宋体"/>
                <w:sz w:val="24"/>
              </w:rPr>
              <w:t>mg</w:t>
            </w:r>
            <w:r>
              <w:rPr>
                <w:rFonts w:ascii="宋体" w:hAnsi="宋体"/>
                <w:sz w:val="24"/>
              </w:rPr>
              <w:t>, N 0-10mg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5</w:t>
            </w:r>
            <w:r>
              <w:rPr>
                <w:rFonts w:ascii="宋体" w:hAnsi="宋体"/>
                <w:bCs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 w:cs="Arial Unicode MS"/>
                <w:bCs/>
                <w:sz w:val="24"/>
              </w:rPr>
              <w:t>仪器检出限绝对量</w:t>
            </w:r>
            <w:r>
              <w:rPr>
                <w:rFonts w:hint="eastAsia" w:ascii="宋体" w:hAnsi="宋体" w:cs="Arial Unicode MS"/>
                <w:sz w:val="24"/>
              </w:rPr>
              <w:t>：</w:t>
            </w:r>
            <w:r>
              <w:rPr>
                <w:rFonts w:ascii="宋体" w:hAnsi="宋体" w:cs="Arial Unicode MS"/>
                <w:sz w:val="24"/>
              </w:rPr>
              <w:t>C：</w:t>
            </w:r>
            <w:r>
              <w:rPr>
                <w:rFonts w:hint="eastAsia" w:ascii="宋体" w:hAnsi="宋体" w:cs="Arial Unicode MS"/>
                <w:sz w:val="24"/>
              </w:rPr>
              <w:t>≤</w:t>
            </w:r>
            <w:r>
              <w:rPr>
                <w:rFonts w:ascii="宋体" w:hAnsi="宋体" w:cs="Arial Unicode MS"/>
                <w:sz w:val="24"/>
              </w:rPr>
              <w:t xml:space="preserve">1 </w:t>
            </w:r>
            <w:r>
              <w:rPr>
                <w:rFonts w:hint="eastAsia" w:ascii="宋体" w:hAnsi="宋体" w:cs="Arial Unicode MS"/>
                <w:sz w:val="24"/>
              </w:rPr>
              <w:t>μ</w:t>
            </w:r>
            <w:r>
              <w:rPr>
                <w:rFonts w:ascii="宋体" w:hAnsi="宋体" w:cs="Arial Unicode MS"/>
                <w:sz w:val="24"/>
              </w:rPr>
              <w:t>g；N：</w:t>
            </w:r>
            <w:r>
              <w:rPr>
                <w:rFonts w:hint="eastAsia" w:ascii="宋体" w:hAnsi="宋体" w:cs="Arial Unicode MS"/>
                <w:sz w:val="24"/>
              </w:rPr>
              <w:t>≤</w:t>
            </w:r>
            <w:r>
              <w:rPr>
                <w:rFonts w:ascii="宋体" w:hAnsi="宋体" w:cs="Arial Unicode MS"/>
                <w:sz w:val="24"/>
              </w:rPr>
              <w:t xml:space="preserve">2 </w:t>
            </w:r>
            <w:r>
              <w:rPr>
                <w:rFonts w:hint="eastAsia" w:ascii="宋体" w:hAnsi="宋体" w:cs="Arial Unicode MS"/>
                <w:sz w:val="24"/>
              </w:rPr>
              <w:t>μ</w:t>
            </w:r>
            <w:r>
              <w:rPr>
                <w:rFonts w:ascii="宋体" w:hAnsi="宋体" w:cs="Arial Unicode MS"/>
                <w:sz w:val="24"/>
              </w:rPr>
              <w:t>g；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6. </w:t>
            </w:r>
            <w:r>
              <w:rPr>
                <w:rFonts w:hint="eastAsia" w:ascii="宋体" w:hAnsi="宋体"/>
                <w:bCs/>
                <w:sz w:val="24"/>
              </w:rPr>
              <w:t>分析精度：</w:t>
            </w:r>
            <w:r>
              <w:rPr>
                <w:rFonts w:ascii="宋体" w:hAnsi="宋体"/>
                <w:bCs/>
                <w:sz w:val="24"/>
              </w:rPr>
              <w:t>CN</w:t>
            </w:r>
            <w:r>
              <w:rPr>
                <w:rFonts w:hint="eastAsia" w:ascii="宋体" w:hAnsi="宋体"/>
                <w:sz w:val="24"/>
              </w:rPr>
              <w:t>≤0</w:t>
            </w:r>
            <w:r>
              <w:rPr>
                <w:rFonts w:ascii="宋体" w:hAnsi="宋体"/>
                <w:sz w:val="24"/>
              </w:rPr>
              <w:t xml:space="preserve">.5% </w:t>
            </w:r>
            <w:r>
              <w:rPr>
                <w:rFonts w:hint="eastAsia" w:ascii="宋体" w:hAnsi="宋体"/>
                <w:sz w:val="24"/>
              </w:rPr>
              <w:t>abs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7</w:t>
            </w:r>
            <w:r>
              <w:rPr>
                <w:rFonts w:ascii="宋体" w:hAnsi="宋体"/>
                <w:bCs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碳氮分析模式需采用不锈钢燃烧管，并配置不锈钢燃烧管。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8</w:t>
            </w:r>
            <w:r>
              <w:rPr>
                <w:rFonts w:ascii="宋体" w:hAnsi="宋体"/>
                <w:bCs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电子流量控制器：2个，载气和氧气均采用电子流量控制器，提高了系统的稳定性，通常不需要校准，可以执行自动泄漏测试。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9</w:t>
            </w:r>
            <w:r>
              <w:rPr>
                <w:rFonts w:ascii="宋体" w:hAnsi="宋体"/>
                <w:bCs/>
                <w:sz w:val="24"/>
              </w:rPr>
              <w:t xml:space="preserve">. </w:t>
            </w:r>
            <w:r>
              <w:rPr>
                <w:rFonts w:hint="eastAsia" w:ascii="宋体" w:hAnsi="宋体"/>
                <w:bCs/>
                <w:sz w:val="24"/>
              </w:rPr>
              <w:t>配置全自动固体进样器：不少于</w:t>
            </w:r>
            <w:r>
              <w:rPr>
                <w:rFonts w:ascii="宋体" w:hAnsi="宋体"/>
                <w:bCs/>
                <w:sz w:val="24"/>
              </w:rPr>
              <w:t>30</w:t>
            </w:r>
            <w:r>
              <w:rPr>
                <w:rFonts w:hint="eastAsia" w:ascii="宋体" w:hAnsi="宋体"/>
                <w:bCs/>
                <w:sz w:val="24"/>
              </w:rPr>
              <w:t>位，进样孔直径≥1</w:t>
            </w:r>
            <w:r>
              <w:rPr>
                <w:rFonts w:ascii="宋体" w:hAnsi="宋体"/>
                <w:bCs/>
                <w:sz w:val="24"/>
              </w:rPr>
              <w:t>.2</w:t>
            </w:r>
            <w:r>
              <w:rPr>
                <w:rFonts w:hint="eastAsia" w:ascii="宋体" w:hAnsi="宋体"/>
                <w:bCs/>
                <w:sz w:val="24"/>
              </w:rPr>
              <w:t>cm，保障疏松大体积样品进样。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</w:t>
            </w:r>
            <w:r>
              <w:rPr>
                <w:rFonts w:ascii="宋体" w:hAnsi="宋体"/>
                <w:bCs/>
                <w:sz w:val="24"/>
              </w:rPr>
              <w:t xml:space="preserve">0. </w:t>
            </w:r>
            <w:r>
              <w:rPr>
                <w:rFonts w:hint="eastAsia" w:ascii="宋体" w:hAnsi="宋体"/>
                <w:bCs/>
                <w:sz w:val="24"/>
              </w:rPr>
              <w:t>主要部件保修期：燃烧炉和TCD检测器保修不少于1</w:t>
            </w:r>
            <w:r>
              <w:rPr>
                <w:rFonts w:ascii="宋体" w:hAnsi="宋体"/>
                <w:bCs/>
                <w:sz w:val="24"/>
              </w:rPr>
              <w:t>5</w:t>
            </w:r>
            <w:r>
              <w:rPr>
                <w:rFonts w:hint="eastAsia" w:ascii="宋体" w:hAnsi="宋体"/>
                <w:bCs/>
                <w:sz w:val="24"/>
              </w:rPr>
              <w:t>年，且需提供燃烧炉和T</w:t>
            </w:r>
            <w:r>
              <w:rPr>
                <w:rFonts w:ascii="宋体" w:hAnsi="宋体"/>
                <w:bCs/>
                <w:sz w:val="24"/>
              </w:rPr>
              <w:t>CD</w:t>
            </w:r>
            <w:r>
              <w:rPr>
                <w:rFonts w:hint="eastAsia" w:ascii="宋体" w:hAnsi="宋体"/>
                <w:bCs/>
                <w:sz w:val="24"/>
              </w:rPr>
              <w:t>检测器厂家保修声明，厂家保修声明原件必需和仪器一起装箱。厂家保修声明不能限制只能使用原厂耗材。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11. </w:t>
            </w:r>
            <w:r>
              <w:rPr>
                <w:rFonts w:hint="eastAsia" w:ascii="宋体" w:hAnsi="宋体"/>
                <w:bCs/>
                <w:sz w:val="24"/>
              </w:rPr>
              <w:t>软件符合2</w:t>
            </w:r>
            <w:r>
              <w:rPr>
                <w:rFonts w:ascii="宋体" w:hAnsi="宋体"/>
                <w:bCs/>
                <w:sz w:val="24"/>
              </w:rPr>
              <w:t>1CFR Part 11</w:t>
            </w:r>
            <w:r>
              <w:rPr>
                <w:rFonts w:hint="eastAsia" w:ascii="宋体" w:hAnsi="宋体"/>
                <w:bCs/>
                <w:sz w:val="24"/>
              </w:rPr>
              <w:t>法规要求，必需配有审计追踪，权限管理，密码登录管理等功能。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</w:t>
            </w:r>
            <w:r>
              <w:rPr>
                <w:rFonts w:ascii="宋体" w:hAnsi="宋体"/>
                <w:bCs/>
                <w:sz w:val="24"/>
              </w:rPr>
              <w:t xml:space="preserve">2. </w:t>
            </w:r>
            <w:r>
              <w:rPr>
                <w:rFonts w:hint="eastAsia" w:ascii="宋体" w:hAnsi="宋体"/>
                <w:bCs/>
                <w:sz w:val="24"/>
              </w:rPr>
              <w:t>操作软件可自动计算热值和二氧化碳交换量，可自由导入固体样品的湿度值和液体样品的密度值、自动最小值公式、自动计算C</w:t>
            </w:r>
            <w:r>
              <w:rPr>
                <w:rFonts w:ascii="宋体" w:hAnsi="宋体"/>
                <w:bCs/>
                <w:sz w:val="24"/>
              </w:rPr>
              <w:t>/N, C/H, C/S</w:t>
            </w:r>
            <w:r>
              <w:rPr>
                <w:rFonts w:hint="eastAsia" w:ascii="宋体" w:hAnsi="宋体"/>
                <w:bCs/>
                <w:sz w:val="24"/>
              </w:rPr>
              <w:t>比值等功能。还可通过监控质控标样判断仪器运行的状态，序列进样时，质控标样有异常，软件可发送邮件提醒用户，并停止继续进样，使仪器处于待机状态。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</w:t>
            </w:r>
            <w:r>
              <w:rPr>
                <w:rFonts w:ascii="宋体" w:hAnsi="宋体"/>
                <w:bCs/>
                <w:sz w:val="24"/>
              </w:rPr>
              <w:t xml:space="preserve">3. </w:t>
            </w:r>
            <w:r>
              <w:rPr>
                <w:rFonts w:hint="eastAsia" w:ascii="宋体" w:hAnsi="宋体"/>
                <w:bCs/>
                <w:sz w:val="24"/>
              </w:rPr>
              <w:t>提供一套元素分析方法库（U盘或光盘），分析方法≥</w:t>
            </w:r>
            <w:r>
              <w:rPr>
                <w:rFonts w:ascii="宋体" w:hAnsi="宋体"/>
                <w:bCs/>
                <w:sz w:val="24"/>
              </w:rPr>
              <w:t>2000</w:t>
            </w:r>
            <w:r>
              <w:rPr>
                <w:rFonts w:hint="eastAsia" w:ascii="宋体" w:hAnsi="宋体"/>
                <w:bCs/>
                <w:sz w:val="24"/>
              </w:rPr>
              <w:t>种，帮助用户快速查询和学习各种类型的样品分析方法（至少包含高分子材料类、化学类、环境类、生物类、地质类、药品类、能源类样品的分析方法）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14. </w:t>
            </w:r>
            <w:r>
              <w:rPr>
                <w:rFonts w:hint="eastAsia" w:ascii="宋体" w:hAnsi="宋体"/>
                <w:bCs/>
                <w:sz w:val="24"/>
              </w:rPr>
              <w:t>提供该型号仪器的视频培训教材一套（U盘或光盘），可直观的学习元素分析的进样技术、样品制备和处理方法、催化剂装填和更换、仪器安装和拆卸、常见故障处理等。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申购学院</w:t>
            </w:r>
          </w:p>
        </w:tc>
        <w:tc>
          <w:tcPr>
            <w:tcW w:w="7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农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学院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预算金额</w:t>
            </w:r>
          </w:p>
        </w:tc>
        <w:tc>
          <w:tcPr>
            <w:tcW w:w="7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万元/台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5" w:hRule="atLeast"/>
          <w:jc w:val="center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论证结果</w:t>
            </w:r>
          </w:p>
        </w:tc>
        <w:tc>
          <w:tcPr>
            <w:tcW w:w="7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拟同意购买</w:t>
            </w:r>
          </w:p>
        </w:tc>
      </w:tr>
    </w:tbl>
    <w:p>
      <w:pPr>
        <w:widowControl/>
        <w:shd w:val="clear" w:color="auto" w:fill="FFFFFF"/>
        <w:spacing w:line="360" w:lineRule="auto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476" w:right="556" w:bottom="476" w:left="55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ヒラギノ角ゴ Pro W3">
    <w:altName w:val="MS Mincho"/>
    <w:panose1 w:val="00000000000000000000"/>
    <w:charset w:val="80"/>
    <w:family w:val="swiss"/>
    <w:pitch w:val="default"/>
    <w:sig w:usb0="00000000" w:usb1="00000000" w:usb2="00000012" w:usb3="00000000" w:csb0="0002000D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0NjG3tLQEMc3MlHSUglOLizPz80AKDGsBuNtKWSwAAAA="/>
    <w:docVar w:name="commondata" w:val="eyJoZGlkIjoiZjkzNDA2ZDVlZjgwMzk3ZTRiOTkwMmU3NDZkZDIzYzUifQ=="/>
  </w:docVars>
  <w:rsids>
    <w:rsidRoot w:val="00BD5537"/>
    <w:rsid w:val="0035429D"/>
    <w:rsid w:val="0039024E"/>
    <w:rsid w:val="0039779B"/>
    <w:rsid w:val="00604F2D"/>
    <w:rsid w:val="006337A6"/>
    <w:rsid w:val="00804E0D"/>
    <w:rsid w:val="00821997"/>
    <w:rsid w:val="008A0535"/>
    <w:rsid w:val="00942DCD"/>
    <w:rsid w:val="009857E7"/>
    <w:rsid w:val="00BD5537"/>
    <w:rsid w:val="00C37F4B"/>
    <w:rsid w:val="00C77E33"/>
    <w:rsid w:val="00CA732B"/>
    <w:rsid w:val="00D21B36"/>
    <w:rsid w:val="00EB5077"/>
    <w:rsid w:val="20F74D8A"/>
    <w:rsid w:val="56290384"/>
    <w:rsid w:val="58875731"/>
    <w:rsid w:val="5D471CF8"/>
    <w:rsid w:val="63D642CF"/>
    <w:rsid w:val="654B32F2"/>
    <w:rsid w:val="6CB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  <w:jc w:val="left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正文 A"/>
    <w:qFormat/>
    <w:uiPriority w:val="0"/>
    <w:rPr>
      <w:rFonts w:ascii="Arial" w:hAnsi="Arial" w:eastAsia="ヒラギノ角ゴ Pro W3" w:cs="Times New Roman"/>
      <w:color w:val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168</Words>
  <Characters>964</Characters>
  <Lines>8</Lines>
  <Paragraphs>2</Paragraphs>
  <TotalTime>1</TotalTime>
  <ScaleCrop>false</ScaleCrop>
  <LinksUpToDate>false</LinksUpToDate>
  <CharactersWithSpaces>1130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2021-07-08T07:38:00Z</dcterms:created>
  <dc:creator>3b</dc:creator>
  <cp:lastModifiedBy>Dan</cp:lastModifiedBy>
  <dcterms:modified xsi:type="dcterms:W3CDTF">2022-10-21T08:15:11Z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437CCEA1FF2C4C48897AC7A81DDF5734</vt:lpwstr>
  </property>
</Properties>
</file>