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FD57D" w14:textId="77777777" w:rsidR="008F6764" w:rsidRDefault="00D003C3">
      <w:pPr>
        <w:autoSpaceDE w:val="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  <w:lang w:bidi="ar"/>
        </w:rPr>
        <w:t>附件</w:t>
      </w:r>
      <w:r>
        <w:rPr>
          <w:rFonts w:ascii="宋体" w:eastAsia="宋体" w:hAnsi="宋体" w:cs="宋体" w:hint="eastAsia"/>
          <w:sz w:val="32"/>
          <w:szCs w:val="32"/>
          <w:lang w:bidi="ar"/>
        </w:rPr>
        <w:t>2:</w:t>
      </w:r>
    </w:p>
    <w:tbl>
      <w:tblPr>
        <w:tblW w:w="10295" w:type="dxa"/>
        <w:tblInd w:w="-845" w:type="dxa"/>
        <w:tblLook w:val="04A0" w:firstRow="1" w:lastRow="0" w:firstColumn="1" w:lastColumn="0" w:noHBand="0" w:noVBand="1"/>
      </w:tblPr>
      <w:tblGrid>
        <w:gridCol w:w="1527"/>
        <w:gridCol w:w="627"/>
        <w:gridCol w:w="8141"/>
      </w:tblGrid>
      <w:tr w:rsidR="008F6764" w14:paraId="69058DE5" w14:textId="77777777">
        <w:trPr>
          <w:trHeight w:val="279"/>
        </w:trPr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07DE804" w14:textId="77777777" w:rsidR="008F6764" w:rsidRDefault="00D003C3">
            <w:pPr>
              <w:widowControl/>
              <w:autoSpaceDE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设备中文名称</w:t>
            </w:r>
          </w:p>
        </w:tc>
        <w:tc>
          <w:tcPr>
            <w:tcW w:w="8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A9F7E" w14:textId="77777777" w:rsidR="008F6764" w:rsidRDefault="00D003C3">
            <w:pPr>
              <w:widowControl/>
              <w:autoSpaceDE w:val="0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索氏总脂肪测定系统</w:t>
            </w:r>
          </w:p>
        </w:tc>
      </w:tr>
      <w:tr w:rsidR="008F6764" w14:paraId="066A4609" w14:textId="77777777">
        <w:trPr>
          <w:trHeight w:val="279"/>
        </w:trPr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5218454" w14:textId="77777777" w:rsidR="008F6764" w:rsidRDefault="00D003C3">
            <w:pPr>
              <w:widowControl/>
              <w:autoSpaceDE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设备外文名称</w:t>
            </w:r>
          </w:p>
        </w:tc>
        <w:tc>
          <w:tcPr>
            <w:tcW w:w="8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E40D7" w14:textId="77777777" w:rsidR="008F6764" w:rsidRDefault="00D003C3">
            <w:pPr>
              <w:widowControl/>
              <w:autoSpaceDE w:val="0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Soxhlet total fat system</w:t>
            </w:r>
          </w:p>
        </w:tc>
      </w:tr>
      <w:tr w:rsidR="008F6764" w14:paraId="6D73CF98" w14:textId="77777777">
        <w:trPr>
          <w:trHeight w:val="170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60D7726" w14:textId="77777777" w:rsidR="008F6764" w:rsidRDefault="00D003C3">
            <w:pPr>
              <w:autoSpaceDE w:val="0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  <w:lang w:bidi="ar"/>
              </w:rPr>
              <w:t>主要技术参数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0C944" w14:textId="77777777" w:rsidR="008F6764" w:rsidRDefault="00D003C3">
            <w:pPr>
              <w:widowControl/>
              <w:autoSpaceDE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61516" w14:textId="77777777" w:rsidR="008F6764" w:rsidRDefault="00D003C3">
            <w:pPr>
              <w:widowControl/>
              <w:autoSpaceDE w:val="0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★采用标准的常压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独立酸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水解及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常压油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重法索氏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提取提取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样品中总脂肪。</w:t>
            </w:r>
          </w:p>
        </w:tc>
      </w:tr>
      <w:tr w:rsidR="008F6764" w14:paraId="43C22DA8" w14:textId="77777777">
        <w:trPr>
          <w:trHeight w:val="170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EEFFBEC" w14:textId="77777777" w:rsidR="008F6764" w:rsidRDefault="008F6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05065" w14:textId="77777777" w:rsidR="008F6764" w:rsidRDefault="00D003C3">
            <w:pPr>
              <w:widowControl/>
              <w:autoSpaceDE w:val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90D5B" w14:textId="77777777" w:rsidR="008F6764" w:rsidRDefault="00D003C3">
            <w:pPr>
              <w:widowControl/>
              <w:autoSpaceDE w:val="0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适用于禽肉及饲料的总脂肪、游离脂肪以及结合脂肪的测定。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</w:t>
            </w:r>
          </w:p>
        </w:tc>
      </w:tr>
      <w:tr w:rsidR="008F6764" w14:paraId="7C354EE1" w14:textId="77777777">
        <w:trPr>
          <w:trHeight w:val="170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B5E5875" w14:textId="77777777" w:rsidR="008F6764" w:rsidRDefault="008F6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42C7D" w14:textId="77777777" w:rsidR="008F6764" w:rsidRDefault="00D003C3">
            <w:pPr>
              <w:widowControl/>
              <w:autoSpaceDE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B82CA" w14:textId="77777777" w:rsidR="008F6764" w:rsidRDefault="00D003C3">
            <w:pPr>
              <w:widowControl/>
              <w:autoSpaceDE w:val="0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不同样品提取出的脂肪之间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混杂，可用于脂肪酸以及其他脂肪相关项目的进一步测定</w:t>
            </w:r>
          </w:p>
        </w:tc>
      </w:tr>
      <w:tr w:rsidR="008F6764" w14:paraId="07B3FC77" w14:textId="77777777">
        <w:trPr>
          <w:trHeight w:val="170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420033A" w14:textId="77777777" w:rsidR="008F6764" w:rsidRDefault="008F6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89AB7" w14:textId="77777777" w:rsidR="008F6764" w:rsidRDefault="00D003C3">
            <w:pPr>
              <w:widowControl/>
              <w:autoSpaceDE w:val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445BB" w14:textId="77777777" w:rsidR="008F6764" w:rsidRDefault="00D003C3">
            <w:pPr>
              <w:widowControl/>
              <w:autoSpaceDE w:val="0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系统包括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独立酸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水解系统和全自动索氏提取系统，位数完全配套，可以各自独立使用。</w:t>
            </w:r>
          </w:p>
        </w:tc>
      </w:tr>
      <w:tr w:rsidR="008F6764" w14:paraId="65DEC7E8" w14:textId="77777777">
        <w:trPr>
          <w:trHeight w:val="170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EE9196E" w14:textId="77777777" w:rsidR="008F6764" w:rsidRDefault="008F6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14D47" w14:textId="77777777" w:rsidR="008F6764" w:rsidRDefault="00D003C3">
            <w:pPr>
              <w:widowControl/>
              <w:autoSpaceDE w:val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8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E7F19" w14:textId="77777777" w:rsidR="008F6764" w:rsidRDefault="00D003C3">
            <w:pPr>
              <w:widowControl/>
              <w:autoSpaceDE w:val="0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技术指标：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                                                                           </w:t>
            </w:r>
          </w:p>
        </w:tc>
      </w:tr>
      <w:tr w:rsidR="008F6764" w14:paraId="20CE4969" w14:textId="77777777">
        <w:trPr>
          <w:trHeight w:val="170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EA809B7" w14:textId="77777777" w:rsidR="008F6764" w:rsidRDefault="008F6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983AC" w14:textId="77777777" w:rsidR="008F6764" w:rsidRDefault="00D003C3">
            <w:pPr>
              <w:widowControl/>
              <w:autoSpaceDE w:val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8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D67A7" w14:textId="77777777" w:rsidR="008F6764" w:rsidRDefault="00D003C3">
            <w:pPr>
              <w:widowControl/>
              <w:autoSpaceDE w:val="0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▲整体式防爆设计：抽提仪中所有高电压的连接部分全部按照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CE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防爆规范包埋在防爆箱中，无开关（有产生电弧风险，以彩页上仪器图片为准）设计，确保实验室使用有机溶剂的安全。</w:t>
            </w:r>
          </w:p>
        </w:tc>
      </w:tr>
      <w:tr w:rsidR="008F6764" w14:paraId="10C9B381" w14:textId="77777777">
        <w:trPr>
          <w:trHeight w:val="170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4E30F86" w14:textId="77777777" w:rsidR="008F6764" w:rsidRDefault="008F6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3B02" w14:textId="77777777" w:rsidR="008F6764" w:rsidRDefault="00D003C3">
            <w:pPr>
              <w:widowControl/>
              <w:autoSpaceDE w:val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8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F7F77" w14:textId="77777777" w:rsidR="008F6764" w:rsidRDefault="00D003C3">
            <w:pPr>
              <w:widowControl/>
              <w:autoSpaceDE w:val="0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整体式防火设计：壳体采用防火材料制作，确保仪器安全。</w:t>
            </w:r>
          </w:p>
        </w:tc>
      </w:tr>
      <w:tr w:rsidR="008F6764" w14:paraId="7386CED7" w14:textId="77777777">
        <w:trPr>
          <w:trHeight w:val="170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4F802FA" w14:textId="77777777" w:rsidR="008F6764" w:rsidRDefault="008F6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7039D" w14:textId="77777777" w:rsidR="008F6764" w:rsidRDefault="00D003C3">
            <w:pPr>
              <w:widowControl/>
              <w:autoSpaceDE w:val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8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2933A" w14:textId="77777777" w:rsidR="008F6764" w:rsidRDefault="00D003C3">
            <w:pPr>
              <w:widowControl/>
              <w:autoSpaceDE w:val="0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整体式安全设计，采用气动方式驱动（含安全门），杜绝机械故障和电机危险。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                                         </w:t>
            </w:r>
          </w:p>
        </w:tc>
      </w:tr>
      <w:tr w:rsidR="008F6764" w14:paraId="04F7A804" w14:textId="77777777">
        <w:trPr>
          <w:trHeight w:val="170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5BA05D8" w14:textId="77777777" w:rsidR="008F6764" w:rsidRDefault="008F6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EED23" w14:textId="77777777" w:rsidR="008F6764" w:rsidRDefault="00D003C3">
            <w:pPr>
              <w:widowControl/>
              <w:autoSpaceDE w:val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8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C1DFF" w14:textId="77777777" w:rsidR="008F6764" w:rsidRDefault="00D003C3">
            <w:pPr>
              <w:widowControl/>
              <w:autoSpaceDE w:val="0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索氏抽提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仪使用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电脑软件工作站全自动程序控制操作，一套电脑软件工作站可以同时独立控制＞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套仪器工作（提供电脑软件界面证明，否则不得分）。</w:t>
            </w:r>
          </w:p>
        </w:tc>
      </w:tr>
      <w:tr w:rsidR="008F6764" w14:paraId="2F5BE709" w14:textId="77777777">
        <w:trPr>
          <w:trHeight w:val="170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BF555E8" w14:textId="77777777" w:rsidR="008F6764" w:rsidRDefault="008F6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D5E73" w14:textId="77777777" w:rsidR="008F6764" w:rsidRDefault="00D003C3">
            <w:pPr>
              <w:widowControl/>
              <w:autoSpaceDE w:val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8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D5253" w14:textId="77777777" w:rsidR="008F6764" w:rsidRDefault="00D003C3">
            <w:pPr>
              <w:widowControl/>
              <w:autoSpaceDE w:val="0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★全自动系统，具有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个加热位，所有位置在同一个平面，所有样品均采用同一块电子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温控带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凹槽铝加热板加热，确保加热条件的完全一致无疑。</w:t>
            </w:r>
          </w:p>
        </w:tc>
      </w:tr>
      <w:tr w:rsidR="008F6764" w14:paraId="1C55ED9E" w14:textId="77777777">
        <w:trPr>
          <w:trHeight w:val="170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3BB168A" w14:textId="77777777" w:rsidR="008F6764" w:rsidRDefault="008F6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C96E7" w14:textId="77777777" w:rsidR="008F6764" w:rsidRDefault="00D003C3">
            <w:pPr>
              <w:widowControl/>
              <w:autoSpaceDE w:val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8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615FA" w14:textId="77777777" w:rsidR="008F6764" w:rsidRDefault="00D003C3">
            <w:pPr>
              <w:widowControl/>
              <w:autoSpaceDE w:val="0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带有非钥匙式独立限温器系统，每次只能有一种温度限制在用，防止系统超温，配有三种温度级别的限温器，最高一级限温可达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℃，温度连续可设，满足各种应用；超温保护自动恢复，确保系统自动工作。</w:t>
            </w:r>
          </w:p>
        </w:tc>
      </w:tr>
      <w:tr w:rsidR="008F6764" w14:paraId="526C2ABE" w14:textId="77777777">
        <w:trPr>
          <w:trHeight w:val="170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789790D" w14:textId="77777777" w:rsidR="008F6764" w:rsidRDefault="008F6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5B978" w14:textId="77777777" w:rsidR="008F6764" w:rsidRDefault="00D003C3">
            <w:pPr>
              <w:widowControl/>
              <w:autoSpaceDE w:val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8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910F3" w14:textId="77777777" w:rsidR="008F6764" w:rsidRDefault="00D003C3">
            <w:pPr>
              <w:widowControl/>
              <w:autoSpaceDE w:val="0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带有自动升降的透明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EX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安全防护门，程序开始或结束时自动关闭或开启，无需手动控制，确保人身安全。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          </w:t>
            </w:r>
          </w:p>
        </w:tc>
      </w:tr>
      <w:tr w:rsidR="008F6764" w14:paraId="1E732ED5" w14:textId="77777777">
        <w:trPr>
          <w:trHeight w:val="170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AB0AD97" w14:textId="77777777" w:rsidR="008F6764" w:rsidRDefault="008F6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04949" w14:textId="77777777" w:rsidR="008F6764" w:rsidRDefault="00D003C3">
            <w:pPr>
              <w:widowControl/>
              <w:autoSpaceDE w:val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8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81750" w14:textId="77777777" w:rsidR="008F6764" w:rsidRDefault="00D003C3">
            <w:pPr>
              <w:widowControl/>
              <w:autoSpaceDE w:val="0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▲具有沸腾浸提、回流淋洗、回收溶剂、保护蒸干和溶剂调整等步骤，可在程序工作中手动调节以快速达到适当的浓缩量。</w:t>
            </w:r>
          </w:p>
        </w:tc>
      </w:tr>
      <w:tr w:rsidR="008F6764" w14:paraId="1E117F29" w14:textId="77777777">
        <w:trPr>
          <w:trHeight w:val="170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3D861E4" w14:textId="77777777" w:rsidR="008F6764" w:rsidRDefault="008F6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050BA" w14:textId="77777777" w:rsidR="008F6764" w:rsidRDefault="00D003C3">
            <w:pPr>
              <w:widowControl/>
              <w:autoSpaceDE w:val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8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5D4CC" w14:textId="77777777" w:rsidR="008F6764" w:rsidRDefault="00D003C3">
            <w:pPr>
              <w:widowControl/>
              <w:autoSpaceDE w:val="0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冷却水和压缩空气可控，达到节水、节气，系统故障时自动关闭。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                                        </w:t>
            </w:r>
          </w:p>
        </w:tc>
      </w:tr>
      <w:tr w:rsidR="008F6764" w14:paraId="320640FE" w14:textId="77777777">
        <w:trPr>
          <w:trHeight w:val="170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04814B3" w14:textId="77777777" w:rsidR="008F6764" w:rsidRDefault="008F6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ED17A" w14:textId="77777777" w:rsidR="008F6764" w:rsidRDefault="00D003C3">
            <w:pPr>
              <w:widowControl/>
              <w:autoSpaceDE w:val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8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6DC82" w14:textId="77777777" w:rsidR="008F6764" w:rsidRDefault="00D003C3">
            <w:pPr>
              <w:widowControl/>
              <w:autoSpaceDE w:val="0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溶剂回收罐带有液位探头及浮标，双重监控防止溶剂溢出。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                                                                                                                                    </w:t>
            </w:r>
          </w:p>
        </w:tc>
      </w:tr>
      <w:tr w:rsidR="008F6764" w14:paraId="379C6D35" w14:textId="77777777">
        <w:trPr>
          <w:trHeight w:val="170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4F81AFA" w14:textId="77777777" w:rsidR="008F6764" w:rsidRDefault="008F6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FC655" w14:textId="77777777" w:rsidR="008F6764" w:rsidRDefault="00D003C3">
            <w:pPr>
              <w:widowControl/>
              <w:autoSpaceDE w:val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8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878BB" w14:textId="77777777" w:rsidR="008F6764" w:rsidRDefault="00D003C3">
            <w:pPr>
              <w:widowControl/>
              <w:autoSpaceDE w:val="0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具有声光警示提醒系统出错并自动保护。</w:t>
            </w:r>
          </w:p>
        </w:tc>
      </w:tr>
      <w:tr w:rsidR="008F6764" w14:paraId="406C2252" w14:textId="77777777">
        <w:trPr>
          <w:trHeight w:val="170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7166AD7" w14:textId="77777777" w:rsidR="008F6764" w:rsidRDefault="008F6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D72C1" w14:textId="77777777" w:rsidR="008F6764" w:rsidRDefault="00D003C3">
            <w:pPr>
              <w:widowControl/>
              <w:autoSpaceDE w:val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8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815E0" w14:textId="77777777" w:rsidR="008F6764" w:rsidRDefault="00D003C3">
            <w:pPr>
              <w:widowControl/>
              <w:autoSpaceDE w:val="0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使用玻璃浸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提杯加灯光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照射清楚显示浸提状态。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           </w:t>
            </w:r>
          </w:p>
        </w:tc>
      </w:tr>
      <w:tr w:rsidR="008F6764" w14:paraId="13B0C4DB" w14:textId="77777777">
        <w:trPr>
          <w:trHeight w:val="170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F6D7C82" w14:textId="77777777" w:rsidR="008F6764" w:rsidRDefault="008F6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E3D19" w14:textId="77777777" w:rsidR="008F6764" w:rsidRDefault="00D003C3">
            <w:pPr>
              <w:widowControl/>
              <w:autoSpaceDE w:val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8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AD8ED" w14:textId="77777777" w:rsidR="008F6764" w:rsidRDefault="00D003C3">
            <w:pPr>
              <w:widowControl/>
              <w:autoSpaceDE w:val="0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一步式加液装样方式优化操作，方便操作并减少试剂挥发机会。</w:t>
            </w:r>
          </w:p>
        </w:tc>
      </w:tr>
      <w:tr w:rsidR="008F6764" w14:paraId="28899774" w14:textId="77777777">
        <w:trPr>
          <w:trHeight w:val="170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F7CC758" w14:textId="77777777" w:rsidR="008F6764" w:rsidRDefault="008F6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8673D" w14:textId="77777777" w:rsidR="008F6764" w:rsidRDefault="00D003C3">
            <w:pPr>
              <w:widowControl/>
              <w:autoSpaceDE w:val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8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D7B23" w14:textId="77777777" w:rsidR="008F6764" w:rsidRDefault="00D003C3">
            <w:pPr>
              <w:widowControl/>
              <w:autoSpaceDE w:val="0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索氏整机功率≤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1500W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，节能低碳。</w:t>
            </w:r>
          </w:p>
        </w:tc>
      </w:tr>
      <w:tr w:rsidR="008F6764" w14:paraId="117E40E3" w14:textId="77777777">
        <w:trPr>
          <w:trHeight w:val="170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183F749" w14:textId="77777777" w:rsidR="008F6764" w:rsidRDefault="008F6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2838F" w14:textId="77777777" w:rsidR="008F6764" w:rsidRDefault="00D003C3">
            <w:pPr>
              <w:widowControl/>
              <w:autoSpaceDE w:val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8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DEF33" w14:textId="77777777" w:rsidR="008F6764" w:rsidRDefault="00D003C3">
            <w:pPr>
              <w:widowControl/>
              <w:autoSpaceDE w:val="0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宽＜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，深＜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，节省实验室台面空间。</w:t>
            </w:r>
          </w:p>
        </w:tc>
      </w:tr>
      <w:tr w:rsidR="008F6764" w14:paraId="33B87943" w14:textId="77777777">
        <w:trPr>
          <w:trHeight w:val="170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38BF146" w14:textId="77777777" w:rsidR="008F6764" w:rsidRDefault="008F6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3D5BC" w14:textId="77777777" w:rsidR="008F6764" w:rsidRDefault="00D003C3">
            <w:pPr>
              <w:widowControl/>
              <w:autoSpaceDE w:val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8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B55D5" w14:textId="77777777" w:rsidR="008F6764" w:rsidRDefault="00D003C3">
            <w:pPr>
              <w:widowControl/>
              <w:autoSpaceDE w:val="0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配备冷却水循环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空压一体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机一台，出水量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40L/min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。</w:t>
            </w:r>
          </w:p>
        </w:tc>
      </w:tr>
      <w:tr w:rsidR="008F6764" w14:paraId="73CB3006" w14:textId="77777777">
        <w:trPr>
          <w:trHeight w:val="170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710D19D" w14:textId="77777777" w:rsidR="008F6764" w:rsidRDefault="008F6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646D4" w14:textId="77777777" w:rsidR="008F6764" w:rsidRDefault="00D003C3">
            <w:pPr>
              <w:widowControl/>
              <w:autoSpaceDE w:val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8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82835" w14:textId="77777777" w:rsidR="008F6764" w:rsidRDefault="00D003C3">
            <w:pPr>
              <w:widowControl/>
              <w:autoSpaceDE w:val="0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▲配套同一品牌酸水解设备一套，采用标准的酸水解方法，可独立处理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6 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样品，每个样品的取样量可高达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50g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，无需专用过滤耗材，可使用符合“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GB 5009.6-2016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食品安全国家标准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食品中脂肪的测定”标准“第二法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11.1.2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肉制品和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11.1.2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淀粉”要求的滤纸过滤，具有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6 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加热台位，每个台位的温度完全独立无级调节，每个台位配有独立的冷凝系统，有双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极保险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电源开关，加热指示灯和过电流保护器，工作温度可达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425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℃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,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具有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CE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认证。</w:t>
            </w:r>
          </w:p>
        </w:tc>
      </w:tr>
      <w:tr w:rsidR="008F6764" w14:paraId="356F7AED" w14:textId="77777777">
        <w:trPr>
          <w:trHeight w:val="170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4FE4DEB" w14:textId="77777777" w:rsidR="008F6764" w:rsidRDefault="008F6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004F7" w14:textId="77777777" w:rsidR="008F6764" w:rsidRDefault="00D003C3">
            <w:pPr>
              <w:widowControl/>
              <w:autoSpaceDE w:val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8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B5458" w14:textId="77777777" w:rsidR="008F6764" w:rsidRDefault="00D003C3">
            <w:pPr>
              <w:widowControl/>
              <w:autoSpaceDE w:val="0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售后服务和培训要求</w:t>
            </w:r>
          </w:p>
        </w:tc>
      </w:tr>
      <w:tr w:rsidR="008F6764" w14:paraId="25815CB5" w14:textId="77777777">
        <w:trPr>
          <w:trHeight w:val="170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0CBB077" w14:textId="77777777" w:rsidR="008F6764" w:rsidRDefault="008F6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D7AF4" w14:textId="77777777" w:rsidR="008F6764" w:rsidRDefault="00D003C3">
            <w:pPr>
              <w:widowControl/>
              <w:autoSpaceDE w:val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8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2C58B" w14:textId="77777777" w:rsidR="008F6764" w:rsidRDefault="00D003C3">
            <w:pPr>
              <w:widowControl/>
              <w:autoSpaceDE w:val="0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为保证售后及服务质量，如供应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商不是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制造厂商的，需获得制造商针对本项目出具的完整授权链。</w:t>
            </w:r>
          </w:p>
        </w:tc>
      </w:tr>
      <w:tr w:rsidR="008F6764" w14:paraId="0B614681" w14:textId="77777777">
        <w:trPr>
          <w:trHeight w:val="170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ECE6537" w14:textId="77777777" w:rsidR="008F6764" w:rsidRDefault="008F6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DEA89" w14:textId="77777777" w:rsidR="008F6764" w:rsidRDefault="00D003C3">
            <w:pPr>
              <w:widowControl/>
              <w:autoSpaceDE w:val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8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B77D7" w14:textId="77777777" w:rsidR="008F6764" w:rsidRDefault="00D003C3">
            <w:pPr>
              <w:widowControl/>
              <w:autoSpaceDE w:val="0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为保证售后及服务的及时性，以及特殊情况（比如疫情）下的可及性，厂家在广州须有自营的售后服务机构（需提供厂家广州机构营业执照复印件，否则不予认可，售后服务不得分）</w:t>
            </w:r>
          </w:p>
        </w:tc>
      </w:tr>
      <w:tr w:rsidR="008F6764" w14:paraId="1DF12489" w14:textId="77777777">
        <w:trPr>
          <w:trHeight w:val="170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DDA7CB6" w14:textId="77777777" w:rsidR="008F6764" w:rsidRDefault="008F6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F0E49" w14:textId="77777777" w:rsidR="008F6764" w:rsidRDefault="00D003C3">
            <w:pPr>
              <w:widowControl/>
              <w:autoSpaceDE w:val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8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3DAE4" w14:textId="77777777" w:rsidR="008F6764" w:rsidRDefault="00D003C3">
            <w:pPr>
              <w:widowControl/>
              <w:autoSpaceDE w:val="0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厂家工程师在广州工程师到现场免费培训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人直至完全能独立操作安装调试经用户验收当天起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质量保证期一年。</w:t>
            </w:r>
          </w:p>
        </w:tc>
      </w:tr>
      <w:tr w:rsidR="008F6764" w14:paraId="0E152602" w14:textId="77777777">
        <w:trPr>
          <w:trHeight w:val="170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7136F17" w14:textId="77777777" w:rsidR="008F6764" w:rsidRDefault="008F6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99E98" w14:textId="77777777" w:rsidR="008F6764" w:rsidRDefault="00D003C3">
            <w:pPr>
              <w:widowControl/>
              <w:autoSpaceDE w:val="0"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8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613DF" w14:textId="77777777" w:rsidR="008F6764" w:rsidRDefault="00D003C3">
            <w:pPr>
              <w:widowControl/>
              <w:autoSpaceDE w:val="0"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厂家在广州的服务中心直接提供终身维修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,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维修响应时间为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小时，提供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小时（每周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天，每天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小时）全天候售后服务支持（需写进厂家盖章的售后服务承诺书）。</w:t>
            </w:r>
          </w:p>
        </w:tc>
      </w:tr>
      <w:tr w:rsidR="008F6764" w14:paraId="0246F70C" w14:textId="77777777">
        <w:trPr>
          <w:trHeight w:val="279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FE5F4" w14:textId="77777777" w:rsidR="008F6764" w:rsidRDefault="00D003C3">
            <w:pPr>
              <w:widowControl/>
              <w:autoSpaceDE w:val="0"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申购学院</w:t>
            </w:r>
          </w:p>
        </w:tc>
        <w:tc>
          <w:tcPr>
            <w:tcW w:w="87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5A990" w14:textId="77777777" w:rsidR="008F6764" w:rsidRDefault="00D003C3">
            <w:pPr>
              <w:widowControl/>
              <w:autoSpaceDE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华南农业大学动物科学学院</w:t>
            </w:r>
          </w:p>
        </w:tc>
      </w:tr>
      <w:tr w:rsidR="008F6764" w14:paraId="3F74FB91" w14:textId="77777777">
        <w:trPr>
          <w:trHeight w:val="279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032E4" w14:textId="77777777" w:rsidR="008F6764" w:rsidRDefault="00D003C3">
            <w:pPr>
              <w:widowControl/>
              <w:autoSpaceDE w:val="0"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预算金额</w:t>
            </w:r>
          </w:p>
        </w:tc>
        <w:tc>
          <w:tcPr>
            <w:tcW w:w="87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D4321" w14:textId="77777777" w:rsidR="008F6764" w:rsidRDefault="00D003C3">
            <w:pPr>
              <w:widowControl/>
              <w:autoSpaceDE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人民币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31.8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万元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台</w:t>
            </w:r>
          </w:p>
        </w:tc>
      </w:tr>
      <w:tr w:rsidR="008F6764" w14:paraId="7B345F7D" w14:textId="77777777">
        <w:trPr>
          <w:trHeight w:val="288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5E3B475" w14:textId="77777777" w:rsidR="008F6764" w:rsidRDefault="00D003C3">
            <w:pPr>
              <w:widowControl/>
              <w:autoSpaceDE w:val="0"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bidi="ar"/>
              </w:rPr>
              <w:t>论证结果</w:t>
            </w:r>
          </w:p>
        </w:tc>
        <w:tc>
          <w:tcPr>
            <w:tcW w:w="87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EAA9F" w14:textId="77777777" w:rsidR="008F6764" w:rsidRDefault="00D003C3">
            <w:pPr>
              <w:widowControl/>
              <w:autoSpaceDE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拟同意采购</w:t>
            </w:r>
          </w:p>
        </w:tc>
      </w:tr>
    </w:tbl>
    <w:p w14:paraId="2340346D" w14:textId="77777777" w:rsidR="008F6764" w:rsidRDefault="008F6764">
      <w:pPr>
        <w:rPr>
          <w:rFonts w:ascii="楷体_GB2312" w:eastAsia="楷体_GB2312" w:hAnsi="楷体_GB2312" w:cs="楷体_GB2312"/>
          <w:color w:val="333333"/>
          <w:kern w:val="0"/>
          <w:sz w:val="28"/>
          <w:szCs w:val="28"/>
        </w:rPr>
      </w:pPr>
    </w:p>
    <w:sectPr w:rsidR="008F6764">
      <w:pgSz w:w="11906" w:h="16838"/>
      <w:pgMar w:top="646" w:right="1800" w:bottom="42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YwMGEwMDJiZTk0YmQ5MWFiMmViMzRkZWYxNGYyYWQifQ=="/>
  </w:docVars>
  <w:rsids>
    <w:rsidRoot w:val="00610C4A"/>
    <w:rsid w:val="001343C9"/>
    <w:rsid w:val="00610C4A"/>
    <w:rsid w:val="008F6764"/>
    <w:rsid w:val="009B6111"/>
    <w:rsid w:val="00D003C3"/>
    <w:rsid w:val="00D01724"/>
    <w:rsid w:val="00EB5077"/>
    <w:rsid w:val="0A647707"/>
    <w:rsid w:val="0B5F535F"/>
    <w:rsid w:val="14FD490E"/>
    <w:rsid w:val="1B6671F1"/>
    <w:rsid w:val="1DB013C6"/>
    <w:rsid w:val="427D7A20"/>
    <w:rsid w:val="490A39C0"/>
    <w:rsid w:val="6D83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D3DE3"/>
  <w15:docId w15:val="{65C30629-1D55-4FA8-881C-F2F73836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3b</dc:creator>
  <cp:lastModifiedBy>86131</cp:lastModifiedBy>
  <cp:revision>3</cp:revision>
  <dcterms:created xsi:type="dcterms:W3CDTF">2021-07-06T01:08:00Z</dcterms:created>
  <dcterms:modified xsi:type="dcterms:W3CDTF">2022-05-13T08:24:00Z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5150B21375AE48F195091DA41ED86626</vt:lpwstr>
  </property>
</Properties>
</file>