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20" w:lineRule="exact"/>
        <w:jc w:val="both"/>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bookmarkStart w:id="0" w:name="_Hlk66111534"/>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附件</w:t>
      </w:r>
      <w:r>
        <w:rPr>
          <w:rFonts w:hint="eastAsia" w:cs="宋体" w:asciiTheme="minorEastAsia" w:hAnsiTheme="minorEastAsia"/>
          <w:b/>
          <w:bCs w:val="0"/>
          <w:color w:val="000000" w:themeColor="text1"/>
          <w:kern w:val="0"/>
          <w:sz w:val="24"/>
          <w:szCs w:val="24"/>
          <w:lang w:val="en-US" w:eastAsia="en-US" w:bidi="zh-CN"/>
          <w14:textFill>
            <w14:solidFill>
              <w14:schemeClr w14:val="tx1"/>
            </w14:solidFill>
          </w14:textFill>
        </w:rPr>
        <w:t>：</w:t>
      </w:r>
      <w:bookmarkStart w:id="1" w:name="_GoBack"/>
      <w:r>
        <w:rPr>
          <w:rFonts w:hint="eastAsia" w:ascii="Times New Roman" w:hAnsi="Times New Roman" w:cs="Times New Roman"/>
          <w:b/>
          <w:bCs w:val="0"/>
          <w:sz w:val="24"/>
          <w:szCs w:val="24"/>
          <w:lang w:eastAsia="zh-CN"/>
        </w:rPr>
        <w:t>液相色谱质谱联用仪</w:t>
      </w:r>
      <w:bookmarkEnd w:id="1"/>
    </w:p>
    <w:tbl>
      <w:tblPr>
        <w:tblStyle w:val="20"/>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11"/>
        <w:gridCol w:w="2696"/>
        <w:gridCol w:w="2258"/>
        <w:gridCol w:w="2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229" w:type="dxa"/>
            <w:gridSpan w:val="2"/>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仪器设备中文名称</w:t>
            </w:r>
          </w:p>
        </w:tc>
        <w:tc>
          <w:tcPr>
            <w:tcW w:w="7401" w:type="dxa"/>
            <w:gridSpan w:val="3"/>
            <w:tcBorders>
              <w:right w:val="single" w:color="000000" w:sz="6" w:space="0"/>
            </w:tcBorders>
            <w:vAlign w:val="center"/>
          </w:tcPr>
          <w:p>
            <w:pPr>
              <w:autoSpaceDE w:val="0"/>
              <w:autoSpaceDN w:val="0"/>
              <w:spacing w:line="520" w:lineRule="exact"/>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液相色谱质谱联用仪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仪器设备外文名称</w:t>
            </w:r>
          </w:p>
        </w:tc>
        <w:tc>
          <w:tcPr>
            <w:tcW w:w="7401" w:type="dxa"/>
            <w:gridSpan w:val="3"/>
            <w:vAlign w:val="center"/>
          </w:tcPr>
          <w:p>
            <w:pPr>
              <w:autoSpaceDE w:val="0"/>
              <w:autoSpaceDN w:val="0"/>
              <w:spacing w:line="520"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Liquid Chromatograph -Triple Quadrupole Mass Spectrometer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229" w:type="dxa"/>
            <w:gridSpan w:val="2"/>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预算金额</w:t>
            </w:r>
            <w:r>
              <w:rPr>
                <w:rFonts w:cs="宋体" w:asciiTheme="minorEastAsia" w:hAnsiTheme="minorEastAsia"/>
                <w:b/>
                <w:color w:val="000000" w:themeColor="text1"/>
                <w:kern w:val="0"/>
                <w:sz w:val="24"/>
                <w:szCs w:val="24"/>
                <w:lang w:val="zh-CN" w:eastAsia="en-US" w:bidi="zh-CN"/>
                <w14:textFill>
                  <w14:solidFill>
                    <w14:schemeClr w14:val="tx1"/>
                  </w14:solidFill>
                </w14:textFill>
              </w:rPr>
              <w:t>(万元)</w:t>
            </w:r>
          </w:p>
        </w:tc>
        <w:tc>
          <w:tcPr>
            <w:tcW w:w="2696" w:type="dxa"/>
            <w:vAlign w:val="center"/>
          </w:tcPr>
          <w:p>
            <w:pPr>
              <w:autoSpaceDE w:val="0"/>
              <w:autoSpaceDN w:val="0"/>
              <w:spacing w:line="520"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Pr>
                <w:rFonts w:hint="eastAsia" w:ascii="Times New Roman" w:hAnsi="Times New Roman" w:cs="Times New Roman"/>
                <w:sz w:val="24"/>
                <w:szCs w:val="24"/>
                <w:lang w:eastAsia="en-US"/>
              </w:rPr>
              <w:t>7</w:t>
            </w:r>
          </w:p>
        </w:tc>
        <w:tc>
          <w:tcPr>
            <w:tcW w:w="2258" w:type="dxa"/>
            <w:tcBorders>
              <w:right w:val="single" w:color="000000" w:sz="6" w:space="0"/>
            </w:tcBorders>
            <w:vAlign w:val="center"/>
          </w:tcPr>
          <w:p>
            <w:pPr>
              <w:autoSpaceDE w:val="0"/>
              <w:autoSpaceDN w:val="0"/>
              <w:spacing w:line="520" w:lineRule="exact"/>
              <w:jc w:val="center"/>
              <w:rPr>
                <w:rFonts w:cs="宋体" w:asciiTheme="minorEastAsia" w:hAnsiTheme="minorEastAsia"/>
                <w:b/>
                <w:color w:val="0000FF"/>
                <w:kern w:val="0"/>
                <w:sz w:val="24"/>
                <w:szCs w:val="24"/>
                <w:lang w:val="zh-CN" w:eastAsia="en-US" w:bidi="zh-CN"/>
              </w:rPr>
            </w:pPr>
            <w:r>
              <w:rPr>
                <w:rFonts w:hint="eastAsia" w:cs="宋体" w:asciiTheme="minorEastAsia" w:hAnsiTheme="minorEastAsia"/>
                <w:b/>
                <w:kern w:val="0"/>
                <w:sz w:val="24"/>
                <w:szCs w:val="24"/>
                <w:lang w:val="en-US" w:eastAsia="en-US" w:bidi="zh-CN"/>
              </w:rPr>
              <w:t>预算金额</w:t>
            </w:r>
            <w:r>
              <w:rPr>
                <w:rFonts w:cs="宋体" w:asciiTheme="minorEastAsia" w:hAnsiTheme="minorEastAsia"/>
                <w:b/>
                <w:kern w:val="0"/>
                <w:sz w:val="24"/>
                <w:szCs w:val="24"/>
                <w:lang w:val="zh-CN" w:eastAsia="en-US" w:bidi="zh-CN"/>
              </w:rPr>
              <w:t>(万元)</w:t>
            </w:r>
          </w:p>
        </w:tc>
        <w:tc>
          <w:tcPr>
            <w:tcW w:w="2447" w:type="dxa"/>
            <w:tcBorders>
              <w:left w:val="single" w:color="000000" w:sz="6" w:space="0"/>
              <w:right w:val="single" w:color="000000" w:sz="6" w:space="0"/>
            </w:tcBorders>
            <w:vAlign w:val="center"/>
          </w:tcPr>
          <w:p>
            <w:pPr>
              <w:autoSpaceDE w:val="0"/>
              <w:autoSpaceDN w:val="0"/>
              <w:spacing w:line="520" w:lineRule="exact"/>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Pr>
                <w:rFonts w:hint="eastAsia" w:ascii="Times New Roman" w:hAnsi="Times New Roman" w:cs="Times New Roman"/>
                <w:sz w:val="24"/>
                <w:szCs w:val="24"/>
                <w:lang w:eastAsia="en-US"/>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1118" w:type="dxa"/>
            <w:vAlign w:val="center"/>
          </w:tcPr>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主要</w:t>
            </w:r>
          </w:p>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技术</w:t>
            </w:r>
          </w:p>
          <w:p>
            <w:pPr>
              <w:autoSpaceDE w:val="0"/>
              <w:autoSpaceDN w:val="0"/>
              <w:spacing w:line="520" w:lineRule="exact"/>
              <w:jc w:val="center"/>
              <w:rPr>
                <w:rFonts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指标</w:t>
            </w:r>
          </w:p>
        </w:tc>
        <w:tc>
          <w:tcPr>
            <w:tcW w:w="8512" w:type="dxa"/>
            <w:gridSpan w:val="4"/>
            <w:tcBorders>
              <w:right w:val="single" w:color="000000" w:sz="6" w:space="0"/>
            </w:tcBorders>
            <w:vAlign w:val="center"/>
          </w:tcPr>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1：工作条件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1.1 电源电压:220 V±10%</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1.2</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温度:18℃～28℃</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1.3</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湿度:40%～70%</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2：液相色谱部分</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2.1</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系统要求: 超高效液相色谱主机一套（与质谱主机同一品牌），包含：二元高压输液泵、脱气机、高压混合器、输液泵自动清洗单元、柱温箱、自动进样器、网络化系统控制器； </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二元高压梯度系统</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2.2.1流速范围： 0.001</w:t>
            </w:r>
            <w:r>
              <w:rPr>
                <w:rFonts w:hint="eastAsia" w:cs="宋体" w:asciiTheme="minorEastAsia" w:hAnsiTheme="minorEastAsia"/>
                <w:color w:val="000000" w:themeColor="text1"/>
                <w:kern w:val="0"/>
                <w:sz w:val="24"/>
                <w:szCs w:val="24"/>
                <w:lang w:val="en-US" w:eastAsia="zh-CN" w:bidi="zh-CN"/>
                <w14:textFill>
                  <w14:solidFill>
                    <w14:schemeClr w14:val="tx1"/>
                  </w14:solidFill>
                </w14:textFill>
              </w:rPr>
              <w:t>-</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10.000mL/min</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2.2.2流速准确度： ≤1%</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▲2.2.3流速精密度： ≤0.062%</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2.2.4梯度变化步进： 0.1%</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2.2.5最高耐压：≥1</w:t>
            </w:r>
            <w:r>
              <w:rPr>
                <w:rFonts w:cs="宋体" w:asciiTheme="minorEastAsia" w:hAnsiTheme="minorEastAsia"/>
                <w:color w:val="000000" w:themeColor="text1"/>
                <w:kern w:val="0"/>
                <w:sz w:val="24"/>
                <w:szCs w:val="24"/>
                <w:lang w:val="zh-CN" w:eastAsia="zh-CN" w:bidi="zh-CN"/>
                <w14:textFill>
                  <w14:solidFill>
                    <w14:schemeClr w14:val="tx1"/>
                  </w14:solidFill>
                </w14:textFill>
              </w:rPr>
              <w:t>1</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000psi</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2.2.6自动清洗组件：标配</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2.2.7组成方式：两台独立高压送液泵构成的二元梯度系统</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脱气机</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2.4.1流路数目：（DGU-403）3路</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可降温型自动进样器</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2.5.1样品盘容量：160位(1.5mL/2mL样品瓶)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2.5.2样品数量扩展：最多可扩展至16000个样品</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2.5.3进样周期：≦6.7秒</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2.5.4进样速度：4秒</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▲2.5.5耐压：11000 psi</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▲2.5.6交叉污染： &lt;0.0003%</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2.5.7针外润洗和进样口冲洗：标配</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2.5.8针外壁送液清洗：标配2路清洗液</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2.5.10双进样模式：可扩展为支持两条独立流路同时分析，提高质谱利用效率。</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2.5.11支持多种自动前处理功能：样品稀释、添加、混合、Co-injection功能、自动衍生等。</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2.5.12样品控温设定范围：4~45℃</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可降温型柱温箱</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2.6.1温度控制类型：强制空气循环</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2.6.2温度控制范围：室温-10℃~95℃（CTO-40C）</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2.6.3双重漏液传感器：含气体和液体双重传感器</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2.6.4色谱柱容量：单个柱温箱内可放置250mm×5根；300mm×3根；（CTO-40C）</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单个柱温箱内可放置100mm×6根；300mm×3根；（CTO-40S）</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2.6.5内置混合器：支持</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w:t>
            </w:r>
            <w:r>
              <w:rPr>
                <w:rFonts w:cs="宋体" w:asciiTheme="minorEastAsia" w:hAnsiTheme="minorEastAsia"/>
                <w:color w:val="000000" w:themeColor="text1"/>
                <w:kern w:val="0"/>
                <w:sz w:val="24"/>
                <w:szCs w:val="24"/>
                <w:lang w:val="zh-CN" w:eastAsia="zh-CN" w:bidi="zh-CN"/>
                <w14:textFill>
                  <w14:solidFill>
                    <w14:schemeClr w14:val="tx1"/>
                  </w14:solidFill>
                </w14:textFill>
              </w:rPr>
              <w:t>7</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高压切换阀</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w:t>
            </w:r>
            <w:r>
              <w:rPr>
                <w:rFonts w:cs="宋体" w:asciiTheme="minorEastAsia" w:hAnsiTheme="minorEastAsia"/>
                <w:color w:val="000000" w:themeColor="text1"/>
                <w:kern w:val="0"/>
                <w:sz w:val="24"/>
                <w:szCs w:val="24"/>
                <w:lang w:val="zh-CN" w:eastAsia="zh-CN" w:bidi="zh-CN"/>
                <w14:textFill>
                  <w14:solidFill>
                    <w14:schemeClr w14:val="tx1"/>
                  </w14:solidFill>
                </w14:textFill>
              </w:rPr>
              <w:t>7</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.1阀类型：2位6通高压阀</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w:t>
            </w:r>
            <w:r>
              <w:rPr>
                <w:rFonts w:cs="宋体" w:asciiTheme="minorEastAsia" w:hAnsiTheme="minorEastAsia"/>
                <w:color w:val="000000" w:themeColor="text1"/>
                <w:kern w:val="0"/>
                <w:sz w:val="24"/>
                <w:szCs w:val="24"/>
                <w:lang w:val="zh-CN" w:eastAsia="zh-CN" w:bidi="zh-CN"/>
                <w14:textFill>
                  <w14:solidFill>
                    <w14:schemeClr w14:val="tx1"/>
                  </w14:solidFill>
                </w14:textFill>
              </w:rPr>
              <w:t>7</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.2最大耐压：大于5000psi</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w:t>
            </w:r>
            <w:r>
              <w:rPr>
                <w:rFonts w:cs="宋体" w:asciiTheme="minorEastAsia" w:hAnsiTheme="minorEastAsia"/>
                <w:color w:val="000000" w:themeColor="text1"/>
                <w:kern w:val="0"/>
                <w:sz w:val="24"/>
                <w:szCs w:val="24"/>
                <w:lang w:val="zh-CN" w:eastAsia="zh-CN" w:bidi="zh-CN"/>
                <w14:textFill>
                  <w14:solidFill>
                    <w14:schemeClr w14:val="tx1"/>
                  </w14:solidFill>
                </w14:textFill>
              </w:rPr>
              <w:t>7</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.3内径：0.3mm</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w:t>
            </w:r>
            <w:r>
              <w:rPr>
                <w:rFonts w:cs="宋体" w:asciiTheme="minorEastAsia" w:hAnsiTheme="minorEastAsia"/>
                <w:color w:val="000000" w:themeColor="text1"/>
                <w:kern w:val="0"/>
                <w:sz w:val="24"/>
                <w:szCs w:val="24"/>
                <w:lang w:val="zh-CN" w:eastAsia="zh-CN" w:bidi="zh-CN"/>
                <w14:textFill>
                  <w14:solidFill>
                    <w14:schemeClr w14:val="tx1"/>
                  </w14:solidFill>
                </w14:textFill>
              </w:rPr>
              <w:t>7</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.4 </w:t>
            </w:r>
            <w:r>
              <w:rPr>
                <w:rFonts w:hint="eastAsia" w:cs="宋体" w:asciiTheme="minorEastAsia" w:hAnsiTheme="minorEastAsia"/>
                <w:color w:val="000000" w:themeColor="text1"/>
                <w:kern w:val="0"/>
                <w:sz w:val="24"/>
                <w:szCs w:val="24"/>
                <w:lang w:val="en-US" w:eastAsia="zh-CN" w:bidi="zh-CN"/>
                <w14:textFill>
                  <w14:solidFill>
                    <w14:schemeClr w14:val="tx1"/>
                  </w14:solidFill>
                </w14:textFill>
              </w:rPr>
              <w:t>p</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H范围: pH1-pH10</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3：质谱部分</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 质量范围m/z：涵盖5-2000 amu或更宽</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3.2 灵敏度： </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▲3.2.1 ESI源正离子方式：1pg 利血平，MRM（609-&gt;195）,信噪比S/N &gt;350000:1（RMS）</w:t>
            </w:r>
          </w:p>
          <w:p>
            <w:pPr>
              <w:autoSpaceDE w:val="0"/>
              <w:autoSpaceDN w:val="0"/>
              <w:spacing w:line="520" w:lineRule="exact"/>
              <w:ind w:left="840" w:leftChars="400"/>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ESI源正离子方式：利血平，MRM（609-&gt;195），仪器检出限IDL&lt;2fg（提供权威第三方机构仪器检测证书灵敏度证明文件）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w:t>
            </w:r>
            <w:r>
              <w:rPr>
                <w:rFonts w:cs="宋体" w:asciiTheme="minorEastAsia" w:hAnsiTheme="minorEastAsia"/>
                <w:color w:val="000000" w:themeColor="text1"/>
                <w:kern w:val="0"/>
                <w:sz w:val="24"/>
                <w:szCs w:val="24"/>
                <w:lang w:val="zh-CN" w:eastAsia="zh-CN" w:bidi="zh-CN"/>
                <w14:textFill>
                  <w14:solidFill>
                    <w14:schemeClr w14:val="tx1"/>
                  </w14:solidFill>
                </w14:textFill>
              </w:rPr>
              <w:t>2</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  ESI源负离子方式 : 1pg 氯霉素，MRM（321-&gt;152），信噪比&gt;350000:1 (RMS) </w:t>
            </w:r>
          </w:p>
          <w:p>
            <w:pPr>
              <w:autoSpaceDE w:val="0"/>
              <w:autoSpaceDN w:val="0"/>
              <w:spacing w:line="520" w:lineRule="exact"/>
              <w:ind w:left="1200" w:hanging="1200" w:hangingChars="500"/>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     </w:t>
            </w:r>
            <w:r>
              <w:rPr>
                <w:rFonts w:cs="宋体" w:asciiTheme="minorEastAsia" w:hAnsiTheme="minorEastAsia"/>
                <w:color w:val="000000" w:themeColor="text1"/>
                <w:kern w:val="0"/>
                <w:sz w:val="24"/>
                <w:szCs w:val="24"/>
                <w:lang w:val="zh-CN" w:eastAsia="zh-CN" w:bidi="zh-CN"/>
                <w14:textFill>
                  <w14:solidFill>
                    <w14:schemeClr w14:val="tx1"/>
                  </w14:solidFill>
                </w14:textFill>
              </w:rPr>
              <w:t xml:space="preserve">    </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ESI源负离子方式：氯霉素，MRM（321-&gt;152），仪器检出限IDL&lt;2fg（提供权威第三方机构仪器检测证书灵敏度证明文件）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3.3重复性：氯霉素，进样量50fg，6次重复进样，RSD ≤ 2%</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▲3.4质谱分辨率（FWHM):样品(利血平)，结果m/z609处FWHM≤ 0.4u</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3.5质量准确度:样品(利血平)实测值与理论值之间的误差≤ 0.2u</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3.6定量重复性：分别进样4个硝基呋喃代谢物，进样量1pg，每种连续重复检测6次，RSD＜3% ；</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▲3.7质谱扫描速度: 最小步径为0.1u ，大于20000 u/sec；</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▲3.8正负离子切换速度：不超过15ms(不损失灵敏度的情况下)，实现正、负离子同时采集；</w:t>
            </w:r>
          </w:p>
          <w:p>
            <w:pPr>
              <w:autoSpaceDE w:val="0"/>
              <w:autoSpaceDN w:val="0"/>
              <w:spacing w:line="520" w:lineRule="exact"/>
              <w:rPr>
                <w:rFonts w:cs="宋体" w:asciiTheme="minorEastAsia" w:hAnsiTheme="minorEastAsia"/>
                <w:color w:val="000000" w:themeColor="text1"/>
                <w:kern w:val="0"/>
                <w:sz w:val="24"/>
                <w:szCs w:val="24"/>
                <w:lang w:eastAsia="en-US" w:bidi="zh-CN"/>
                <w14:textFill>
                  <w14:solidFill>
                    <w14:schemeClr w14:val="tx1"/>
                  </w14:solidFill>
                </w14:textFill>
              </w:rPr>
            </w:pPr>
            <w:r>
              <w:rPr>
                <w:rFonts w:hint="eastAsia" w:cs="宋体" w:asciiTheme="minorEastAsia" w:hAnsiTheme="minorEastAsia"/>
                <w:color w:val="000000" w:themeColor="text1"/>
                <w:kern w:val="0"/>
                <w:sz w:val="24"/>
                <w:szCs w:val="24"/>
                <w:lang w:eastAsia="en-US" w:bidi="zh-CN"/>
                <w14:textFill>
                  <w14:solidFill>
                    <w14:schemeClr w14:val="tx1"/>
                  </w14:solidFill>
                </w14:textFill>
              </w:rPr>
              <w:t>3.9</w:t>
            </w: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交叉污染</w:t>
            </w:r>
            <w:r>
              <w:rPr>
                <w:rFonts w:hint="eastAsia" w:cs="宋体" w:asciiTheme="minorEastAsia" w:hAnsiTheme="minorEastAsia"/>
                <w:color w:val="000000" w:themeColor="text1"/>
                <w:kern w:val="0"/>
                <w:sz w:val="24"/>
                <w:szCs w:val="24"/>
                <w:lang w:eastAsia="en-US" w:bidi="zh-CN"/>
                <w14:textFill>
                  <w14:solidFill>
                    <w14:schemeClr w14:val="tx1"/>
                  </w14:solidFill>
                </w14:textFill>
              </w:rPr>
              <w:t>cross talk（</w:t>
            </w: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串扰</w:t>
            </w:r>
            <w:r>
              <w:rPr>
                <w:rFonts w:hint="eastAsia" w:cs="宋体" w:asciiTheme="minorEastAsia" w:hAnsiTheme="minorEastAsia"/>
                <w:color w:val="000000" w:themeColor="text1"/>
                <w:kern w:val="0"/>
                <w:sz w:val="24"/>
                <w:szCs w:val="24"/>
                <w:lang w:eastAsia="en-US" w:bidi="zh-CN"/>
                <w14:textFill>
                  <w14:solidFill>
                    <w14:schemeClr w14:val="tx1"/>
                  </w14:solidFill>
                </w14:textFill>
              </w:rPr>
              <w:t>）：&lt; 0.0005%；</w:t>
            </w:r>
            <w:r>
              <w:rPr>
                <w:rFonts w:hint="eastAsia" w:cs="宋体" w:asciiTheme="minorEastAsia" w:hAnsiTheme="minorEastAsia"/>
                <w:color w:val="000000" w:themeColor="text1"/>
                <w:kern w:val="0"/>
                <w:sz w:val="24"/>
                <w:szCs w:val="24"/>
                <w:lang w:eastAsia="en-US" w:bidi="zh-CN"/>
                <w14:textFill>
                  <w14:solidFill>
                    <w14:schemeClr w14:val="tx1"/>
                  </w14:solidFill>
                </w14:textFill>
              </w:rPr>
              <w:tab/>
            </w:r>
            <w:r>
              <w:rPr>
                <w:rFonts w:hint="eastAsia" w:cs="宋体" w:asciiTheme="minorEastAsia" w:hAnsiTheme="minorEastAsia"/>
                <w:color w:val="000000" w:themeColor="text1"/>
                <w:kern w:val="0"/>
                <w:sz w:val="24"/>
                <w:szCs w:val="24"/>
                <w:lang w:eastAsia="en-US" w:bidi="zh-CN"/>
                <w14:textFill>
                  <w14:solidFill>
                    <w14:schemeClr w14:val="tx1"/>
                  </w14:solidFill>
                </w14:textFill>
              </w:rPr>
              <w:tab/>
            </w:r>
            <w:r>
              <w:rPr>
                <w:rFonts w:hint="eastAsia" w:cs="宋体" w:asciiTheme="minorEastAsia" w:hAnsiTheme="minorEastAsia"/>
                <w:color w:val="000000" w:themeColor="text1"/>
                <w:kern w:val="0"/>
                <w:sz w:val="24"/>
                <w:szCs w:val="24"/>
                <w:lang w:eastAsia="en-US" w:bidi="zh-CN"/>
                <w14:textFill>
                  <w14:solidFill>
                    <w14:schemeClr w14:val="tx1"/>
                  </w14:solidFill>
                </w14:textFill>
              </w:rPr>
              <w:tab/>
            </w:r>
            <w:r>
              <w:rPr>
                <w:rFonts w:hint="eastAsia" w:cs="宋体" w:asciiTheme="minorEastAsia" w:hAnsiTheme="minorEastAsia"/>
                <w:color w:val="000000" w:themeColor="text1"/>
                <w:kern w:val="0"/>
                <w:sz w:val="24"/>
                <w:szCs w:val="24"/>
                <w:lang w:eastAsia="en-US" w:bidi="zh-CN"/>
                <w14:textFill>
                  <w14:solidFill>
                    <w14:schemeClr w14:val="tx1"/>
                  </w14:solidFill>
                </w14:textFill>
              </w:rPr>
              <w:tab/>
            </w:r>
            <w:r>
              <w:rPr>
                <w:rFonts w:hint="eastAsia" w:cs="宋体" w:asciiTheme="minorEastAsia" w:hAnsiTheme="minorEastAsia"/>
                <w:color w:val="000000" w:themeColor="text1"/>
                <w:kern w:val="0"/>
                <w:sz w:val="24"/>
                <w:szCs w:val="24"/>
                <w:lang w:eastAsia="en-US" w:bidi="zh-CN"/>
                <w14:textFill>
                  <w14:solidFill>
                    <w14:schemeClr w14:val="tx1"/>
                  </w14:solidFill>
                </w14:textFill>
              </w:rPr>
              <w:tab/>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3.10质谱最小延迟时间：不超过</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1msec；</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▲3.11 质谱MRM最小驻留时间（Dwell Time）：&lt;1msec；</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ab/>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▲3.12 MS到MS/MS切换时间：&lt;1msec；</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3.13 质量稳定性: ＜0.05u /24hr；</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3.14 MRM通道数量：一次进样，不分时间段，可以至少同时检测30000个MRM离子对，并保证灵敏度和重现性不受损失。</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▲3.15 MRM通道速度：</w:t>
            </w:r>
            <w:r>
              <w:rPr>
                <w:rFonts w:hint="eastAsia" w:cs="宋体" w:asciiTheme="minorEastAsia" w:hAnsiTheme="minorEastAsia"/>
                <w:color w:val="000000" w:themeColor="text1"/>
                <w:kern w:val="0"/>
                <w:sz w:val="24"/>
                <w:szCs w:val="24"/>
                <w:lang w:val="en-US" w:eastAsia="zh-CN" w:bidi="zh-CN"/>
                <w14:textFill>
                  <w14:solidFill>
                    <w14:schemeClr w14:val="tx1"/>
                  </w14:solidFill>
                </w14:textFill>
              </w:rPr>
              <w:t>&gt;</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500MRM/s（提供相应的证明文件）。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3.16 MRM同步扫描：同步调查扫描在MRM或其它事件的同时，可触发产物离子扫描，同时实现定性定量；能自动按照离子对数目自动优化loop事件。</w:t>
            </w:r>
          </w:p>
          <w:p>
            <w:pPr>
              <w:autoSpaceDE w:val="0"/>
              <w:autoSpaceDN w:val="0"/>
              <w:spacing w:line="520" w:lineRule="exact"/>
              <w:rPr>
                <w:rFonts w:cs="宋体" w:asciiTheme="minorEastAsia" w:hAnsiTheme="minorEastAsia"/>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3.17离子源：</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3.17.1离子源接口: 离子源为独立电喷雾离子源，非复合源配置，具有真空锁定装置，离子源的清洁、维护、切换方便、快速，无需卸除质谱真空系统。</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3.17.2离子源流速范围：正/负ESI接口和正/负APCI接口：1</w:t>
            </w: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μ</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L/min～2000</w:t>
            </w: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μ</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L/min；</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3.17.3 ESI离子源加热气设计：独立的离子源加热辅助气设计，脱溶剂温度可达650°C，并可针对不同化合物设定不同的分析温度，保证获得最优的离子化效果。</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▲3.17.4可选配同一品牌的原位分析电离源，进一步扩展质谱应用。同一品牌兼容性更好，售后服务更优。</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3.18质量分析器：串联四极杆型质量分析器，双曲面全金属钼四极杆，不需要控温即可保证质量准确度的稳定性。</w:t>
            </w:r>
          </w:p>
          <w:p>
            <w:pPr>
              <w:autoSpaceDE w:val="0"/>
              <w:autoSpaceDN w:val="0"/>
              <w:spacing w:line="520" w:lineRule="exact"/>
              <w:rPr>
                <w:rFonts w:cs="宋体" w:asciiTheme="minorEastAsia" w:hAnsiTheme="minorEastAsia"/>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▲3.18.1 Q1四极杆设计：Q1带有预四极杆和后四极杆用作离子聚焦和抗污染功能，有效降低中性分子引起的背景噪声。具备Q1扫描或Q1选择离子监测SIM功能，可任意设置。</w:t>
            </w: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(提供相应的证明文件)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▲3.18.2 Q2碰撞室设计：碰撞室采用多极杆超快速碰撞室，实现快速MRM性能，同时采取先进的曲线型加速电势场加碰撞气压控制，同时进行线性高压加速，可有效消除记忆效应和交叉污染。</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▲3.18.3 Q2碰撞室高压加速技术：在超高速扫描30000u/s的情况下高质量端的信号强度稳中有升，避免了因扫描速度加快造成的质量检测范围狭窄。</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 xml:space="preserve">▲3.18.4 Q3四极杆设计：Q3前端带有预四极杆用作离子聚焦和抗污染功能有效降低中性分子引起的背景噪声。 </w:t>
            </w:r>
          </w:p>
          <w:p>
            <w:pPr>
              <w:autoSpaceDE w:val="0"/>
              <w:autoSpaceDN w:val="0"/>
              <w:spacing w:line="520" w:lineRule="exact"/>
              <w:rPr>
                <w:rFonts w:cs="宋体" w:asciiTheme="minorEastAsia" w:hAnsiTheme="minorEastAsia"/>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3.19 检测器</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3.19.1高灵敏度检测器：离轴连续打拿电子倍增器，动态范围：8×10</w:t>
            </w:r>
            <w:r>
              <w:rPr>
                <w:rFonts w:hint="eastAsia" w:cs="宋体" w:asciiTheme="minorEastAsia" w:hAnsiTheme="minorEastAsia"/>
                <w:color w:val="000000" w:themeColor="text1"/>
                <w:kern w:val="0"/>
                <w:sz w:val="24"/>
                <w:szCs w:val="24"/>
                <w:vertAlign w:val="superscript"/>
                <w:lang w:val="zh-CN" w:eastAsia="zh-CN" w:bidi="zh-CN"/>
                <w14:textFill>
                  <w14:solidFill>
                    <w14:schemeClr w14:val="tx1"/>
                  </w14:solidFill>
                </w14:textFill>
              </w:rPr>
              <w:t>6</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，检测器前端采用具备离子聚焦及中性噪音过滤功能的电子透镜设计，可大幅度降低背景噪音、提高离子响应值。</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3.19.2检测器：光电倍增器或电子倍增器；</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3.20质谱调谐和校正系统：可实现全自动质谱调谐和校正。</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3.21操作软件：全中文界面质谱控制软件，支持Microsoft Windows 10以上中文操作环境，软件提供液相和质谱联用的全自动控制；简单的用户界面可以实现高效能的仪器调谐和方法优化，包括碰撞气压力和碰撞能量的自动优化，并可利用优化参数方便地建立分析方法；可进行数据采集、数据处理、定量分析和定性分析；有建立数据库功能，谱库检索功能，自动校正和全自动分析功能，全自动定量软件。</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3.22质谱软件还可以自动MRM参数生成优化功能，不需要手动逐条输入MRM参数。可以不需要注射泵，直接液相联机柱上进样即可MRM自动优化。一键式触发全自动定量数据处理和报告功能。同时如需要，也可以采用手动模式修改MRM参数及其它定量批处理方法</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3.23提供中国农业部登记在册的500种以上农药质谱数据库及350种以上兽药数据库，包括MRM参数，Q1电压设置、Q2碰撞能量及电压设置、Q3电压设置，参考定量离子对和定性离子对数据库。包含相关化合物的标准品参考标准曲线。</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3.24质谱软件报告可中文显示，可自由添加、修改、提取化合物的信息，分析和处理方法。</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▲3.25 质谱软件或数据后处理软件具备智能积分算法技术。峰积分处理时，只需选择要使用的算法和模型，无需设置或调整积分参数。提高数据处理速度，减少人为错误。(提供官方彩页或软件截图证明)</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3.26扫描功能：具有全扫描(Full Scan)、选择离子扫描(SIM)、选择反应串联质谱扫描(SRM)、子离子扫描（Product Ion Scan）、母离子扫描：（Precursor Ion Scan）、中性丢失扫描（Neutral Loss Scan）、多反应监测扫描（MRM）、混合扫描（Mixed Scan Mode）、正/负离子快速切换扫描。</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3.27自动调谐：在正离子和负离子模式均可以进行灵敏度和分辨率的自动优化，进行质量校正。</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：技术服务</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.1 中标仪器厂商在中国境内应有专门负责的经验丰富的维修工程师和专门的技术应用支持工程师，应拥有自己建立的培训中心和应用实验室。</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.2 仪器公司协助我单位进行安装前的准备工作，提供相关的布局图和设计要求，提供实验室建设安装资料并作相应的指导。</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.3 到货后，仪器公司免费提供全面安装工具、并由仪器工程师免费安装。仪器安装后，安装工程师为用户进行现场培训。</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.4 仪器公司为用户提供2人参加公司举办的仪器培训班（免培训费、食宿费、交通费）。</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.5 安装验收后1年内，全机免费保修；公司负责工作站软件终身免费升级。</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.6 如果仪器出现故障，在接到我所维修服务的请求后，仪器公司工程师应在24小时内作出应答，进行电话指导、网上诊断协助排除故障。必要时，在</w:t>
            </w:r>
            <w:r>
              <w:rPr>
                <w:rFonts w:cs="宋体" w:asciiTheme="minorEastAsia" w:hAnsiTheme="minorEastAsia"/>
                <w:color w:val="000000" w:themeColor="text1"/>
                <w:kern w:val="0"/>
                <w:sz w:val="24"/>
                <w:szCs w:val="24"/>
                <w:lang w:val="zh-CN" w:eastAsia="zh-CN" w:bidi="zh-CN"/>
                <w14:textFill>
                  <w14:solidFill>
                    <w14:schemeClr w14:val="tx1"/>
                  </w14:solidFill>
                </w14:textFill>
              </w:rPr>
              <w:t>48</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小时内到达现场。</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cs="宋体" w:asciiTheme="minorEastAsia" w:hAnsiTheme="minorEastAsia"/>
                <w:color w:val="000000" w:themeColor="text1"/>
                <w:kern w:val="0"/>
                <w:sz w:val="24"/>
                <w:szCs w:val="24"/>
                <w:lang w:val="zh-CN" w:eastAsia="zh-CN" w:bidi="zh-CN"/>
                <w14:textFill>
                  <w14:solidFill>
                    <w14:schemeClr w14:val="tx1"/>
                  </w14:solidFill>
                </w14:textFill>
              </w:rPr>
              <w:t>4</w:t>
            </w: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.7提供配套的调试工具和其他专用工具，提供全套仪器操作说明书。</w:t>
            </w:r>
          </w:p>
          <w:p>
            <w:pPr>
              <w:autoSpaceDE w:val="0"/>
              <w:autoSpaceDN w:val="0"/>
              <w:spacing w:line="520" w:lineRule="exact"/>
              <w:rPr>
                <w:rFonts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4"/>
                <w:szCs w:val="24"/>
                <w:lang w:val="zh-CN" w:eastAsia="zh-CN" w:bidi="zh-CN"/>
                <w14:textFill>
                  <w14:solidFill>
                    <w14:schemeClr w14:val="tx1"/>
                  </w14:solidFill>
                </w14:textFill>
              </w:rPr>
              <w:t>注：以上（▲）条款为必须达到指标。</w:t>
            </w:r>
          </w:p>
          <w:p>
            <w:pPr>
              <w:autoSpaceDE w:val="0"/>
              <w:autoSpaceDN w:val="0"/>
              <w:spacing w:line="520" w:lineRule="exact"/>
              <w:rPr>
                <w:rFonts w:cs="宋体" w:asciiTheme="minorEastAsia" w:hAnsiTheme="minorEastAsia"/>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配置清单（略）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18" w:type="dxa"/>
            <w:vAlign w:val="center"/>
          </w:tcPr>
          <w:p>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申购学院</w:t>
            </w:r>
          </w:p>
        </w:tc>
        <w:tc>
          <w:tcPr>
            <w:tcW w:w="8512" w:type="dxa"/>
            <w:gridSpan w:val="4"/>
            <w:tcBorders>
              <w:right w:val="single" w:color="000000" w:sz="6" w:space="0"/>
            </w:tcBorders>
            <w:vAlign w:val="center"/>
          </w:tcPr>
          <w:p>
            <w:pPr>
              <w:autoSpaceDE w:val="0"/>
              <w:autoSpaceDN w:val="0"/>
              <w:spacing w:line="520" w:lineRule="exact"/>
              <w:ind w:firstLine="240" w:firstLineChars="100"/>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食品学院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1118" w:type="dxa"/>
            <w:vAlign w:val="center"/>
          </w:tcPr>
          <w:p>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论证结果</w:t>
            </w:r>
          </w:p>
        </w:tc>
        <w:tc>
          <w:tcPr>
            <w:tcW w:w="8512" w:type="dxa"/>
            <w:gridSpan w:val="4"/>
            <w:tcBorders>
              <w:right w:val="single" w:color="000000" w:sz="6" w:space="0"/>
            </w:tcBorders>
            <w:vAlign w:val="center"/>
          </w:tcPr>
          <w:p>
            <w:pPr>
              <w:autoSpaceDE w:val="0"/>
              <w:autoSpaceDN w:val="0"/>
              <w:spacing w:line="520" w:lineRule="exact"/>
              <w:ind w:firstLine="240" w:firstLineChars="100"/>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拟同意购置</w:t>
            </w:r>
          </w:p>
        </w:tc>
      </w:tr>
      <w:bookmarkEnd w:id="0"/>
    </w:tbl>
    <w:p>
      <w:pPr>
        <w:widowControl/>
        <w:spacing w:line="520" w:lineRule="exact"/>
        <w:ind w:firstLine="480" w:firstLineChars="200"/>
        <w:rPr>
          <w:rFonts w:asciiTheme="minorEastAsia" w:hAnsiTheme="minorEastAsia"/>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OTQ2Njc3YjhjMDgwMTdjOTczOGU1ZmEwZjU3ZjIifQ=="/>
  </w:docVars>
  <w:rsids>
    <w:rsidRoot w:val="00E26EEF"/>
    <w:rsid w:val="000061C2"/>
    <w:rsid w:val="0001197C"/>
    <w:rsid w:val="00016D51"/>
    <w:rsid w:val="00021AFF"/>
    <w:rsid w:val="000261FC"/>
    <w:rsid w:val="00035A5B"/>
    <w:rsid w:val="000404C5"/>
    <w:rsid w:val="00046598"/>
    <w:rsid w:val="000473FF"/>
    <w:rsid w:val="000642E3"/>
    <w:rsid w:val="00070F16"/>
    <w:rsid w:val="0007300E"/>
    <w:rsid w:val="00073D4A"/>
    <w:rsid w:val="000752D3"/>
    <w:rsid w:val="00077241"/>
    <w:rsid w:val="00085252"/>
    <w:rsid w:val="000A0ED6"/>
    <w:rsid w:val="000A22BF"/>
    <w:rsid w:val="000B0A66"/>
    <w:rsid w:val="000C43EB"/>
    <w:rsid w:val="000D0BAB"/>
    <w:rsid w:val="000E5F22"/>
    <w:rsid w:val="000F0D45"/>
    <w:rsid w:val="000F3EB3"/>
    <w:rsid w:val="000F54E5"/>
    <w:rsid w:val="00111248"/>
    <w:rsid w:val="00112726"/>
    <w:rsid w:val="00127C3D"/>
    <w:rsid w:val="00127EA5"/>
    <w:rsid w:val="00133C25"/>
    <w:rsid w:val="0013449F"/>
    <w:rsid w:val="00161717"/>
    <w:rsid w:val="00184DBE"/>
    <w:rsid w:val="00191D65"/>
    <w:rsid w:val="001964B5"/>
    <w:rsid w:val="001A37C1"/>
    <w:rsid w:val="001A6809"/>
    <w:rsid w:val="001B0335"/>
    <w:rsid w:val="001B24DC"/>
    <w:rsid w:val="001B30DE"/>
    <w:rsid w:val="001B4472"/>
    <w:rsid w:val="001B4607"/>
    <w:rsid w:val="001B6D60"/>
    <w:rsid w:val="001E1BEA"/>
    <w:rsid w:val="001E3754"/>
    <w:rsid w:val="00200045"/>
    <w:rsid w:val="00200327"/>
    <w:rsid w:val="00231E5A"/>
    <w:rsid w:val="002576CE"/>
    <w:rsid w:val="00257A5B"/>
    <w:rsid w:val="00263913"/>
    <w:rsid w:val="00264CCE"/>
    <w:rsid w:val="00273736"/>
    <w:rsid w:val="00280449"/>
    <w:rsid w:val="0029545C"/>
    <w:rsid w:val="002B08A0"/>
    <w:rsid w:val="002B256D"/>
    <w:rsid w:val="002B3673"/>
    <w:rsid w:val="002E51A4"/>
    <w:rsid w:val="002F27D9"/>
    <w:rsid w:val="002F27DE"/>
    <w:rsid w:val="002F2B16"/>
    <w:rsid w:val="002F34DE"/>
    <w:rsid w:val="00302633"/>
    <w:rsid w:val="003027E1"/>
    <w:rsid w:val="00303D63"/>
    <w:rsid w:val="003214F7"/>
    <w:rsid w:val="00324825"/>
    <w:rsid w:val="00325676"/>
    <w:rsid w:val="00331C34"/>
    <w:rsid w:val="003329F5"/>
    <w:rsid w:val="00333EB3"/>
    <w:rsid w:val="0034303C"/>
    <w:rsid w:val="00355FB3"/>
    <w:rsid w:val="003577B2"/>
    <w:rsid w:val="003828C4"/>
    <w:rsid w:val="003972E0"/>
    <w:rsid w:val="003B42DF"/>
    <w:rsid w:val="003B783D"/>
    <w:rsid w:val="003C4D99"/>
    <w:rsid w:val="003C59DF"/>
    <w:rsid w:val="003C73E5"/>
    <w:rsid w:val="003D1653"/>
    <w:rsid w:val="003D42B9"/>
    <w:rsid w:val="003D6ADC"/>
    <w:rsid w:val="003E5FC2"/>
    <w:rsid w:val="003E6ACE"/>
    <w:rsid w:val="003F175F"/>
    <w:rsid w:val="00410DBA"/>
    <w:rsid w:val="00417633"/>
    <w:rsid w:val="00420719"/>
    <w:rsid w:val="004209F5"/>
    <w:rsid w:val="00421B62"/>
    <w:rsid w:val="00441538"/>
    <w:rsid w:val="004518B9"/>
    <w:rsid w:val="0046185D"/>
    <w:rsid w:val="0046340C"/>
    <w:rsid w:val="004637E6"/>
    <w:rsid w:val="00466EDF"/>
    <w:rsid w:val="00467278"/>
    <w:rsid w:val="004745EF"/>
    <w:rsid w:val="00482C04"/>
    <w:rsid w:val="0048373D"/>
    <w:rsid w:val="004864A7"/>
    <w:rsid w:val="004A79A4"/>
    <w:rsid w:val="004C3144"/>
    <w:rsid w:val="004C7098"/>
    <w:rsid w:val="004D1D3B"/>
    <w:rsid w:val="004E4754"/>
    <w:rsid w:val="004F3CF9"/>
    <w:rsid w:val="004F54CB"/>
    <w:rsid w:val="005005C0"/>
    <w:rsid w:val="00521E0F"/>
    <w:rsid w:val="005223AC"/>
    <w:rsid w:val="00535DE2"/>
    <w:rsid w:val="005455F7"/>
    <w:rsid w:val="00552E5A"/>
    <w:rsid w:val="00565BE3"/>
    <w:rsid w:val="00585417"/>
    <w:rsid w:val="005918D1"/>
    <w:rsid w:val="00593333"/>
    <w:rsid w:val="00596C6F"/>
    <w:rsid w:val="005A360F"/>
    <w:rsid w:val="005A54A9"/>
    <w:rsid w:val="005A752D"/>
    <w:rsid w:val="005A7EE8"/>
    <w:rsid w:val="005B5AE1"/>
    <w:rsid w:val="005C3650"/>
    <w:rsid w:val="005D2DF5"/>
    <w:rsid w:val="005F1037"/>
    <w:rsid w:val="005F1735"/>
    <w:rsid w:val="00606DB7"/>
    <w:rsid w:val="00621017"/>
    <w:rsid w:val="0063615B"/>
    <w:rsid w:val="00636207"/>
    <w:rsid w:val="00671AEB"/>
    <w:rsid w:val="00676044"/>
    <w:rsid w:val="0068536D"/>
    <w:rsid w:val="006948C7"/>
    <w:rsid w:val="006A7CBF"/>
    <w:rsid w:val="006B1E86"/>
    <w:rsid w:val="006D11C7"/>
    <w:rsid w:val="006D492A"/>
    <w:rsid w:val="006E1574"/>
    <w:rsid w:val="006E267A"/>
    <w:rsid w:val="006E3111"/>
    <w:rsid w:val="006E554A"/>
    <w:rsid w:val="0071557E"/>
    <w:rsid w:val="00715619"/>
    <w:rsid w:val="00715FAB"/>
    <w:rsid w:val="0074252F"/>
    <w:rsid w:val="00754F2C"/>
    <w:rsid w:val="00775C36"/>
    <w:rsid w:val="0077790C"/>
    <w:rsid w:val="00785022"/>
    <w:rsid w:val="0078516A"/>
    <w:rsid w:val="00786644"/>
    <w:rsid w:val="007A3430"/>
    <w:rsid w:val="007A5430"/>
    <w:rsid w:val="007A5E7A"/>
    <w:rsid w:val="007B0C7A"/>
    <w:rsid w:val="007B0F53"/>
    <w:rsid w:val="007C3955"/>
    <w:rsid w:val="007C3E58"/>
    <w:rsid w:val="007C7ECC"/>
    <w:rsid w:val="007D55DC"/>
    <w:rsid w:val="007E17FD"/>
    <w:rsid w:val="007F0427"/>
    <w:rsid w:val="007F119F"/>
    <w:rsid w:val="007F69F9"/>
    <w:rsid w:val="008007D0"/>
    <w:rsid w:val="00800839"/>
    <w:rsid w:val="00801B5D"/>
    <w:rsid w:val="008149CF"/>
    <w:rsid w:val="00814EE1"/>
    <w:rsid w:val="00816481"/>
    <w:rsid w:val="00832129"/>
    <w:rsid w:val="00835F62"/>
    <w:rsid w:val="00854AB1"/>
    <w:rsid w:val="0086235D"/>
    <w:rsid w:val="00864CFD"/>
    <w:rsid w:val="008660D6"/>
    <w:rsid w:val="00867B14"/>
    <w:rsid w:val="00880BBF"/>
    <w:rsid w:val="00882873"/>
    <w:rsid w:val="00892AD8"/>
    <w:rsid w:val="008975F8"/>
    <w:rsid w:val="00897F60"/>
    <w:rsid w:val="008A6AA0"/>
    <w:rsid w:val="008C45F9"/>
    <w:rsid w:val="008D0E65"/>
    <w:rsid w:val="008D2676"/>
    <w:rsid w:val="008E0200"/>
    <w:rsid w:val="008E1123"/>
    <w:rsid w:val="008E135D"/>
    <w:rsid w:val="008E675D"/>
    <w:rsid w:val="009177AD"/>
    <w:rsid w:val="00922753"/>
    <w:rsid w:val="0093651D"/>
    <w:rsid w:val="00936602"/>
    <w:rsid w:val="009447CB"/>
    <w:rsid w:val="0096120B"/>
    <w:rsid w:val="00985130"/>
    <w:rsid w:val="009A61EF"/>
    <w:rsid w:val="009C6FC0"/>
    <w:rsid w:val="009E4BF0"/>
    <w:rsid w:val="009E75E6"/>
    <w:rsid w:val="009F3143"/>
    <w:rsid w:val="00A14803"/>
    <w:rsid w:val="00A14E00"/>
    <w:rsid w:val="00A248A1"/>
    <w:rsid w:val="00A447CF"/>
    <w:rsid w:val="00A61B90"/>
    <w:rsid w:val="00A646F1"/>
    <w:rsid w:val="00A64C23"/>
    <w:rsid w:val="00A709BF"/>
    <w:rsid w:val="00A70E20"/>
    <w:rsid w:val="00A80992"/>
    <w:rsid w:val="00A91786"/>
    <w:rsid w:val="00A928DE"/>
    <w:rsid w:val="00AA0B21"/>
    <w:rsid w:val="00AA19DA"/>
    <w:rsid w:val="00AA2C47"/>
    <w:rsid w:val="00AC10EE"/>
    <w:rsid w:val="00AC72A2"/>
    <w:rsid w:val="00AC7F0F"/>
    <w:rsid w:val="00AD0D96"/>
    <w:rsid w:val="00AD436F"/>
    <w:rsid w:val="00AD564F"/>
    <w:rsid w:val="00AE350A"/>
    <w:rsid w:val="00AE73A7"/>
    <w:rsid w:val="00B014BC"/>
    <w:rsid w:val="00B15418"/>
    <w:rsid w:val="00B15D1B"/>
    <w:rsid w:val="00B208CC"/>
    <w:rsid w:val="00B42359"/>
    <w:rsid w:val="00B459D5"/>
    <w:rsid w:val="00B46738"/>
    <w:rsid w:val="00B47992"/>
    <w:rsid w:val="00B53757"/>
    <w:rsid w:val="00B75634"/>
    <w:rsid w:val="00B760A7"/>
    <w:rsid w:val="00B800FC"/>
    <w:rsid w:val="00B91184"/>
    <w:rsid w:val="00B94A57"/>
    <w:rsid w:val="00BA5563"/>
    <w:rsid w:val="00BA7998"/>
    <w:rsid w:val="00BB25A2"/>
    <w:rsid w:val="00BB35D6"/>
    <w:rsid w:val="00BD3EC0"/>
    <w:rsid w:val="00BD5CBA"/>
    <w:rsid w:val="00C00C16"/>
    <w:rsid w:val="00C04753"/>
    <w:rsid w:val="00C407ED"/>
    <w:rsid w:val="00C43A8B"/>
    <w:rsid w:val="00C6734E"/>
    <w:rsid w:val="00C71C04"/>
    <w:rsid w:val="00C7653C"/>
    <w:rsid w:val="00C866AC"/>
    <w:rsid w:val="00C95447"/>
    <w:rsid w:val="00CB139B"/>
    <w:rsid w:val="00CB44F9"/>
    <w:rsid w:val="00CD7415"/>
    <w:rsid w:val="00CE2B1B"/>
    <w:rsid w:val="00CE4BD0"/>
    <w:rsid w:val="00CF0914"/>
    <w:rsid w:val="00CF22AF"/>
    <w:rsid w:val="00CF71B2"/>
    <w:rsid w:val="00D01C7C"/>
    <w:rsid w:val="00D15424"/>
    <w:rsid w:val="00D324D1"/>
    <w:rsid w:val="00D352EA"/>
    <w:rsid w:val="00D36F70"/>
    <w:rsid w:val="00D52721"/>
    <w:rsid w:val="00D53E55"/>
    <w:rsid w:val="00D54843"/>
    <w:rsid w:val="00D57A7D"/>
    <w:rsid w:val="00D60843"/>
    <w:rsid w:val="00D80CCA"/>
    <w:rsid w:val="00D87C45"/>
    <w:rsid w:val="00DA0924"/>
    <w:rsid w:val="00DA1DD0"/>
    <w:rsid w:val="00DC25E4"/>
    <w:rsid w:val="00DC4533"/>
    <w:rsid w:val="00DC50E5"/>
    <w:rsid w:val="00DD55F8"/>
    <w:rsid w:val="00DE6D3D"/>
    <w:rsid w:val="00E014B0"/>
    <w:rsid w:val="00E05A8A"/>
    <w:rsid w:val="00E26EEF"/>
    <w:rsid w:val="00E318E0"/>
    <w:rsid w:val="00E33826"/>
    <w:rsid w:val="00E377EE"/>
    <w:rsid w:val="00E41037"/>
    <w:rsid w:val="00E4263A"/>
    <w:rsid w:val="00E42722"/>
    <w:rsid w:val="00E43260"/>
    <w:rsid w:val="00E6369D"/>
    <w:rsid w:val="00E646AA"/>
    <w:rsid w:val="00E82138"/>
    <w:rsid w:val="00E825F3"/>
    <w:rsid w:val="00E84713"/>
    <w:rsid w:val="00E85A32"/>
    <w:rsid w:val="00EB54A7"/>
    <w:rsid w:val="00EC0B32"/>
    <w:rsid w:val="00ED02B1"/>
    <w:rsid w:val="00ED1327"/>
    <w:rsid w:val="00EE69DC"/>
    <w:rsid w:val="00EF5149"/>
    <w:rsid w:val="00F04AF4"/>
    <w:rsid w:val="00F07919"/>
    <w:rsid w:val="00F17C2B"/>
    <w:rsid w:val="00F43232"/>
    <w:rsid w:val="00F64D87"/>
    <w:rsid w:val="00F664FB"/>
    <w:rsid w:val="00F670BC"/>
    <w:rsid w:val="00F85653"/>
    <w:rsid w:val="00F95715"/>
    <w:rsid w:val="00F9778D"/>
    <w:rsid w:val="00FA6BA7"/>
    <w:rsid w:val="00FB2327"/>
    <w:rsid w:val="00FC53A3"/>
    <w:rsid w:val="00FC5E6D"/>
    <w:rsid w:val="00FE3592"/>
    <w:rsid w:val="00FE67F5"/>
    <w:rsid w:val="00FE711C"/>
    <w:rsid w:val="00FF4893"/>
    <w:rsid w:val="00FF55A9"/>
    <w:rsid w:val="094C7D97"/>
    <w:rsid w:val="101744CC"/>
    <w:rsid w:val="1BB31B29"/>
    <w:rsid w:val="2BFF2881"/>
    <w:rsid w:val="32905BA8"/>
    <w:rsid w:val="337B6E02"/>
    <w:rsid w:val="3F9913EC"/>
    <w:rsid w:val="4EA43A85"/>
    <w:rsid w:val="5C4B355C"/>
    <w:rsid w:val="5E70660C"/>
    <w:rsid w:val="6A7220B2"/>
    <w:rsid w:val="76841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240" w:after="24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140" w:after="14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140" w:after="140" w:line="416" w:lineRule="auto"/>
      <w:outlineLvl w:val="2"/>
    </w:pPr>
    <w:rPr>
      <w:b/>
      <w:bCs/>
      <w:sz w:val="32"/>
      <w:szCs w:val="32"/>
    </w:rPr>
  </w:style>
  <w:style w:type="paragraph" w:styleId="5">
    <w:name w:val="heading 4"/>
    <w:basedOn w:val="1"/>
    <w:next w:val="1"/>
    <w:link w:val="17"/>
    <w:qFormat/>
    <w:uiPriority w:val="0"/>
    <w:pPr>
      <w:keepNext/>
      <w:keepLines/>
      <w:spacing w:line="360" w:lineRule="auto"/>
      <w:jc w:val="center"/>
      <w:outlineLvl w:val="3"/>
    </w:pPr>
    <w:rPr>
      <w:rFonts w:hAnsi="Arial" w:cs="Times New Roman" w:asciiTheme="majorEastAsia" w:eastAsiaTheme="majorEastAsia"/>
      <w:b/>
      <w:bCs/>
      <w:sz w:val="24"/>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5"/>
    <w:qFormat/>
    <w:uiPriority w:val="0"/>
    <w:pPr>
      <w:jc w:val="center"/>
    </w:pPr>
    <w:rPr>
      <w:sz w:val="30"/>
      <w:szCs w:val="24"/>
    </w:rPr>
  </w:style>
  <w:style w:type="character" w:customStyle="1" w:styleId="12">
    <w:name w:val="标题 1 字符"/>
    <w:basedOn w:val="11"/>
    <w:link w:val="2"/>
    <w:qFormat/>
    <w:uiPriority w:val="9"/>
    <w:rPr>
      <w:b/>
      <w:bCs/>
      <w:kern w:val="44"/>
      <w:sz w:val="44"/>
      <w:szCs w:val="44"/>
    </w:rPr>
  </w:style>
  <w:style w:type="character" w:customStyle="1" w:styleId="13">
    <w:name w:val="标题 2 字符"/>
    <w:basedOn w:val="11"/>
    <w:link w:val="3"/>
    <w:qFormat/>
    <w:uiPriority w:val="9"/>
    <w:rPr>
      <w:rFonts w:asciiTheme="majorHAnsi" w:hAnsiTheme="majorHAnsi" w:eastAsiaTheme="majorEastAsia" w:cstheme="majorBidi"/>
      <w:b/>
      <w:bCs/>
      <w:sz w:val="32"/>
      <w:szCs w:val="32"/>
    </w:rPr>
  </w:style>
  <w:style w:type="character" w:customStyle="1" w:styleId="14">
    <w:name w:val="标题 3 字符"/>
    <w:basedOn w:val="11"/>
    <w:link w:val="4"/>
    <w:qFormat/>
    <w:uiPriority w:val="9"/>
    <w:rPr>
      <w:b/>
      <w:bCs/>
      <w:sz w:val="32"/>
      <w:szCs w:val="32"/>
    </w:rPr>
  </w:style>
  <w:style w:type="character" w:customStyle="1" w:styleId="15">
    <w:name w:val="标题 字符"/>
    <w:link w:val="9"/>
    <w:qFormat/>
    <w:uiPriority w:val="0"/>
    <w:rPr>
      <w:sz w:val="30"/>
      <w:szCs w:val="24"/>
    </w:rPr>
  </w:style>
  <w:style w:type="paragraph" w:customStyle="1" w:styleId="16">
    <w:name w:val="宋四一级"/>
    <w:qFormat/>
    <w:uiPriority w:val="0"/>
    <w:pPr>
      <w:spacing w:line="360" w:lineRule="auto"/>
      <w:outlineLvl w:val="0"/>
    </w:pPr>
    <w:rPr>
      <w:rFonts w:ascii="Calibri" w:hAnsi="Calibri" w:eastAsia="宋体" w:cs="Times New Roman"/>
      <w:kern w:val="2"/>
      <w:sz w:val="28"/>
      <w:szCs w:val="22"/>
      <w:lang w:val="en-US" w:eastAsia="zh-CN" w:bidi="ar-SA"/>
    </w:rPr>
  </w:style>
  <w:style w:type="character" w:customStyle="1" w:styleId="17">
    <w:name w:val="标题 4 字符"/>
    <w:basedOn w:val="11"/>
    <w:link w:val="5"/>
    <w:qFormat/>
    <w:uiPriority w:val="0"/>
    <w:rPr>
      <w:rFonts w:hAnsi="Arial" w:cs="Times New Roman" w:asciiTheme="majorEastAsia" w:eastAsiaTheme="majorEastAsia"/>
      <w:b/>
      <w:bCs/>
      <w:sz w:val="24"/>
      <w:szCs w:val="28"/>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table" w:customStyle="1" w:styleId="2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1">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Table Paragraph"/>
    <w:basedOn w:val="1"/>
    <w:qFormat/>
    <w:uiPriority w:val="1"/>
    <w:pPr>
      <w:autoSpaceDE w:val="0"/>
      <w:autoSpaceDN w:val="0"/>
    </w:pPr>
    <w:rPr>
      <w:rFonts w:ascii="宋体" w:hAnsi="宋体" w:eastAsia="宋体" w:cs="宋体"/>
      <w:kern w:val="0"/>
      <w:sz w:val="22"/>
      <w:lang w:val="zh-CN" w:bidi="zh-CN"/>
    </w:rPr>
  </w:style>
  <w:style w:type="table" w:customStyle="1" w:styleId="23">
    <w:name w:val="Table Normal2"/>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4">
    <w:name w:val="Table Normal3"/>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character" w:customStyle="1" w:styleId="26">
    <w:name w:val="批注框文本 字符"/>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2879</Words>
  <Characters>3711</Characters>
  <Lines>82</Lines>
  <Paragraphs>23</Paragraphs>
  <TotalTime>4</TotalTime>
  <ScaleCrop>false</ScaleCrop>
  <LinksUpToDate>false</LinksUpToDate>
  <CharactersWithSpaces>3814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2022-10-24T10:36:00Z</dcterms:created>
  <dc:creator>Tristan</dc:creator>
  <cp:lastModifiedBy>梁旦成</cp:lastModifiedBy>
  <cp:lastPrinted>2021-03-05T04:20:00Z</cp:lastPrinted>
  <dcterms:modified xsi:type="dcterms:W3CDTF">2022-12-14T09:28:20Z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20F089E243ED43AD993AAAD0CB5E706D</vt:lpwstr>
  </property>
</Properties>
</file>