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E w:val="0"/>
        <w:autoSpaceDN w:val="0"/>
        <w:spacing w:line="520" w:lineRule="exact"/>
        <w:jc w:val="left"/>
        <w:rPr>
          <w:rFonts w:hint="default" w:cs="宋体" w:asciiTheme="minorEastAsia" w:hAnsiTheme="minorEastAsia"/>
          <w:b/>
          <w:color w:val="000000" w:themeColor="text1"/>
          <w:kern w:val="0"/>
          <w:sz w:val="24"/>
          <w:szCs w:val="24"/>
          <w:lang w:val="en-US" w:eastAsia="en-US" w:bidi="zh-CN"/>
          <w14:textFill>
            <w14:solidFill>
              <w14:schemeClr w14:val="tx1"/>
            </w14:solidFill>
          </w14:textFill>
        </w:rPr>
      </w:pPr>
      <w:bookmarkStart w:id="0" w:name="_Hlk66111534"/>
      <w:r>
        <w:rPr>
          <w:rFonts w:hint="eastAsia" w:cs="宋体" w:asciiTheme="minorEastAsia" w:hAnsiTheme="minorEastAsia"/>
          <w:b/>
          <w:color w:val="000000" w:themeColor="text1"/>
          <w:kern w:val="0"/>
          <w:sz w:val="24"/>
          <w:szCs w:val="24"/>
          <w:lang w:val="en-US" w:eastAsia="en-US" w:bidi="zh-CN"/>
          <w14:textFill>
            <w14:solidFill>
              <w14:schemeClr w14:val="tx1"/>
            </w14:solidFill>
          </w14:textFill>
        </w:rPr>
        <w:t>附件：</w:t>
      </w:r>
      <w:bookmarkStart w:id="1" w:name="_GoBack"/>
      <w:r>
        <w:rPr>
          <w:rFonts w:hint="eastAsia" w:ascii="Times New Roman" w:hAnsi="Times New Roman" w:cs="Times New Roman"/>
          <w:b/>
          <w:bCs/>
          <w:sz w:val="24"/>
          <w:lang w:eastAsia="en-US"/>
        </w:rPr>
        <w:t>超临界流体色谱仪</w:t>
      </w:r>
      <w:bookmarkEnd w:id="1"/>
    </w:p>
    <w:tbl>
      <w:tblPr>
        <w:tblStyle w:val="20"/>
        <w:tblW w:w="9630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18"/>
        <w:gridCol w:w="1111"/>
        <w:gridCol w:w="2696"/>
        <w:gridCol w:w="2258"/>
        <w:gridCol w:w="244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仪器设备中文名称</w:t>
            </w:r>
          </w:p>
        </w:tc>
        <w:tc>
          <w:tcPr>
            <w:tcW w:w="7401" w:type="dxa"/>
            <w:gridSpan w:val="3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>超临界流体色谱仪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38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仪器设备外文名称</w:t>
            </w:r>
          </w:p>
        </w:tc>
        <w:tc>
          <w:tcPr>
            <w:tcW w:w="7401" w:type="dxa"/>
            <w:gridSpan w:val="3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Supercritical Fluid Chromatography</w:t>
            </w: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>（SFC）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0" w:hRule="atLeast"/>
          <w:jc w:val="center"/>
        </w:trPr>
        <w:tc>
          <w:tcPr>
            <w:tcW w:w="2229" w:type="dxa"/>
            <w:gridSpan w:val="2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单价估计(万元)</w:t>
            </w:r>
          </w:p>
        </w:tc>
        <w:tc>
          <w:tcPr>
            <w:tcW w:w="2696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96</w:t>
            </w:r>
          </w:p>
        </w:tc>
        <w:tc>
          <w:tcPr>
            <w:tcW w:w="2258" w:type="dxa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总价估计(万元)</w:t>
            </w:r>
          </w:p>
        </w:tc>
        <w:tc>
          <w:tcPr>
            <w:tcW w:w="2447" w:type="dxa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ascii="Times New Roman" w:hAnsi="Times New Roman" w:cs="Times New Roman"/>
                <w:sz w:val="24"/>
                <w:lang w:eastAsia="en-US"/>
              </w:rPr>
              <w:t>96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061" w:hRule="atLeast"/>
          <w:jc w:val="center"/>
        </w:trPr>
        <w:tc>
          <w:tcPr>
            <w:tcW w:w="111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技术</w:t>
            </w:r>
          </w:p>
          <w:p>
            <w:pPr>
              <w:autoSpaceDE w:val="0"/>
              <w:autoSpaceDN w:val="0"/>
              <w:spacing w:line="520" w:lineRule="exact"/>
              <w:jc w:val="center"/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zh-CN" w:eastAsia="en-US" w:bidi="zh-CN"/>
                <w14:textFill>
                  <w14:solidFill>
                    <w14:schemeClr w14:val="tx1"/>
                  </w14:solidFill>
                </w14:textFill>
              </w:rPr>
              <w:t>指标</w:t>
            </w:r>
          </w:p>
        </w:tc>
        <w:tc>
          <w:tcPr>
            <w:tcW w:w="8512" w:type="dxa"/>
            <w:gridSpan w:val="4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1.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系统简介：本系统使用双流路/双阀交替切换设计，可将两种不同的分离模式结合实现尽可能高的峰容量，能够对在传统一维 LC 中难以分离的复杂混合物进行高分离的全景分析。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2.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操作环境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2.1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工作压力：100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240VAC， 600VA，50/60Hz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2.2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工作温度：15~28℃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2.3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相对湿度：40~70 %rh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 技术指标：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▲3.1超临界流体色谱：支持在线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SFE-SFC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或在线SFC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LC二维系统，同一品牌方便售后支持（须提供厂家彩页或说明书权威证明资料）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>3.1.1 CO2 输送单元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>3.1.1.1</w:t>
            </w: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>送液模式：恒压送液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>3.1.1.2</w:t>
            </w: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>流量范围：0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>5 mL/min，步进0.0001 mL/min；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>▲3.1.1.3</w:t>
            </w: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 xml:space="preserve">最大压力：&gt;65MPa； 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>3.1.1.4</w:t>
            </w: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>流量准确度：≤±1%；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>3.1.1.5</w:t>
            </w: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 xml:space="preserve">流量精密度：&lt;0.062%； 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3.1.1.6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泵头制冷方式：帕尔贴+制冷剂循环系统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3.1.1.7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泵头控温精度：≤2.2℃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.1.1.8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混合器最小死体积：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180</w:t>
            </w: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>μ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L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3.1.2 改性剂输送泵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▲3.1.2.1泵类型：并联双柱塞(冲程体积10</w:t>
            </w: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>μ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L)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3.1.2.2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物理双泵头：减低故障率，便于维护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▲3.1.2.3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流速范围：0.0001-10.0000mL/min（须提供厂家彩页或说明书权威证明资料）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3.1.2.4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耐压：68MPa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▲3.1.2.5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流速精确度：≤0.062％RSD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3.1.2.6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自我诊断/自我恢复：自动检测到批处理分析过程中意外混入的气泡，自动执行Purge，快速恢复至正常分析状态。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3.1.2.7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智能流量控制功能：防止瞬间高压损害色谱柱，延长色谱柱使用寿命。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3.1.2.8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pH范围：1–14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3.1.3 LC系统用分析泵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3.1.3.1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泵类型：并联双柱塞(冲程体积10</w:t>
            </w: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>μ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L)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3.1.3.2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物理双泵头：减低故障率，便于维护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3.1.3.3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流速范围：0.0001-10.0000mL/min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3.1.3.4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耐压：42Mpa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3.1.3.5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流速精确度：≤0.062％RSD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3.1.3.6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自我诊断/自我恢复：自动检测到批处理分析过程中意外混入的气泡，自动执行Purge，快速恢复至正常分析状态。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3.1.3.7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智能流量控制功能：防止瞬间高压损害色谱柱，延长色谱柱使用寿命。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>3.1.3.8</w:t>
            </w: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>pH范围：1–14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3.1.4 超临界流体背压调节单元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3.1.4.1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 xml:space="preserve">最大压力：&gt;35MPa； 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3.1.4.2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压力控制准确度：≤0.10 MPa (100% CO2)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3.1.4.3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控温范围：40℃</w:t>
            </w:r>
            <w:r>
              <w:rPr>
                <w:rFonts w:hint="eastAsia" w:ascii="Times New Roman" w:hAnsi="Times New Roman" w:cs="Times New Roman"/>
                <w:sz w:val="24"/>
                <w:lang w:val="en-US" w:eastAsia="zh-CN"/>
              </w:rPr>
              <w:t>-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70℃(1 ℃ 步进)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3.1.4.4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安全性能：具有高温、漏液、前盖板开启检测等安全保障功能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3.1.5自动进样器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3.1.5.1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线性：&gt;0.9999%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▲3.1.5.2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耐压：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80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Mpa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3.1.5.3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进样周期：≦6.7秒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3.1.5.4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进样速度：4秒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3.1.5.5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样品数量：160位(1.5mL/2mL样品瓶)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3.1.5.6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样品数量扩展：最多可扩展至16000个样品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▲3.1.5.7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交叉污染： &lt;0.000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3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%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3.1.5.8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针外润洗和进样口冲洗：标配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3.1.5.9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针外壁送液清洗：可扩展支持两路清洗液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3.1.5.10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针内壁清洗：可扩展支持3路清洗液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3.1.5.11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双进样模式：可扩展为支持两条独立流路同时分析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3.1.5.12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支持多种自动前处理功能：样品稀释、添加、混合、Co-injection功能、自动衍生等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3.1.5.13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样品冷却：支持，样品高速冷却机制可在20分钟以内达到设定温度；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3.1.5.14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智能化样品冷却机制，智能控制样品仓内气流走向，充分保持其内部温度，防止样品仓门打开时外部热空气侵入影响样品仓内温度，并放置冷凝的发生。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3.1.5.15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样品控温设定范围：4~45℃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3.1.5.16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pH值范围：1–14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3.1.6 柱温箱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3.1.6.1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温度控制类型：强制空气循环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▲3.1.6.2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温度控制范围：室温-10℃~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>100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℃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3.1.6.3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双重漏液传感器：含气体和液体双重传感器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3.1.6.4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色谱柱容量：单个柱温箱内可放置250mm×5根；300mm×3根；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3.1.6.5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ab/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内置混合器：支持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zh-CN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▲3.1.</w:t>
            </w:r>
            <w:r>
              <w:rPr>
                <w:rFonts w:ascii="Times New Roman" w:hAnsi="Times New Roman" w:cs="Times New Roman"/>
                <w:sz w:val="24"/>
                <w:lang w:eastAsia="zh-CN"/>
              </w:rPr>
              <w:t xml:space="preserve">7 </w:t>
            </w:r>
            <w:r>
              <w:rPr>
                <w:rFonts w:hint="eastAsia" w:ascii="Times New Roman" w:hAnsi="Times New Roman" w:cs="Times New Roman"/>
                <w:sz w:val="24"/>
                <w:lang w:eastAsia="zh-CN"/>
              </w:rPr>
              <w:t>系统与MS直接连接，无需分流</w:t>
            </w:r>
          </w:p>
          <w:p>
            <w:pPr>
              <w:autoSpaceDE w:val="0"/>
              <w:autoSpaceDN w:val="0"/>
              <w:spacing w:line="520" w:lineRule="exact"/>
              <w:rPr>
                <w:rFonts w:ascii="Times New Roman" w:hAnsi="Times New Roman" w:cs="Times New Roman"/>
                <w:sz w:val="24"/>
                <w:lang w:eastAsia="en-US"/>
              </w:rPr>
            </w:pPr>
            <w:r>
              <w:rPr>
                <w:rFonts w:hint="eastAsia" w:ascii="Times New Roman" w:hAnsi="Times New Roman" w:cs="Times New Roman"/>
                <w:sz w:val="24"/>
                <w:lang w:eastAsia="en-US"/>
              </w:rPr>
              <w:t>配置清单（略）</w:t>
            </w:r>
          </w:p>
        </w:tc>
      </w:tr>
      <w:bookmarkEnd w:id="0"/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9" w:hRule="atLeast"/>
          <w:jc w:val="center"/>
        </w:trPr>
        <w:tc>
          <w:tcPr>
            <w:tcW w:w="111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申购学院</w:t>
            </w:r>
          </w:p>
        </w:tc>
        <w:tc>
          <w:tcPr>
            <w:tcW w:w="8512" w:type="dxa"/>
            <w:gridSpan w:val="4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hint="default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食品学院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8" w:hRule="atLeast"/>
          <w:jc w:val="center"/>
        </w:trPr>
        <w:tc>
          <w:tcPr>
            <w:tcW w:w="1118" w:type="dxa"/>
            <w:vAlign w:val="center"/>
          </w:tcPr>
          <w:p>
            <w:pPr>
              <w:autoSpaceDE w:val="0"/>
              <w:autoSpaceDN w:val="0"/>
              <w:spacing w:line="520" w:lineRule="exact"/>
              <w:jc w:val="center"/>
              <w:rPr>
                <w:rFonts w:hint="default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b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论证结果</w:t>
            </w:r>
          </w:p>
        </w:tc>
        <w:tc>
          <w:tcPr>
            <w:tcW w:w="8512" w:type="dxa"/>
            <w:gridSpan w:val="4"/>
            <w:tcBorders>
              <w:right w:val="single" w:color="000000" w:sz="6" w:space="0"/>
            </w:tcBorders>
            <w:vAlign w:val="center"/>
          </w:tcPr>
          <w:p>
            <w:pPr>
              <w:autoSpaceDE w:val="0"/>
              <w:autoSpaceDN w:val="0"/>
              <w:spacing w:line="520" w:lineRule="exact"/>
              <w:ind w:firstLine="240" w:firstLineChars="100"/>
              <w:rPr>
                <w:rFonts w:hint="default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cs="宋体" w:asciiTheme="minorEastAsia" w:hAnsiTheme="minorEastAsia"/>
                <w:color w:val="000000" w:themeColor="text1"/>
                <w:kern w:val="0"/>
                <w:sz w:val="24"/>
                <w:szCs w:val="24"/>
                <w:lang w:val="en-US" w:eastAsia="en-US" w:bidi="zh-CN"/>
                <w14:textFill>
                  <w14:solidFill>
                    <w14:schemeClr w14:val="tx1"/>
                  </w14:solidFill>
                </w14:textFill>
              </w:rPr>
              <w:t>拟同意购置</w:t>
            </w:r>
          </w:p>
        </w:tc>
      </w:tr>
    </w:tbl>
    <w:p>
      <w:pPr>
        <w:widowControl/>
        <w:spacing w:line="240" w:lineRule="auto"/>
        <w:rPr>
          <w:rFonts w:asciiTheme="minorEastAsia" w:hAnsiTheme="minorEastAsia"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libri Light">
    <w:panose1 w:val="020F03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hideSpellingErrors/>
  <w:hideGrammaticalError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YwMGEwMDJiZTk0YmQ5MWFiMmViMzRkZWYxNGYyYWQifQ=="/>
  </w:docVars>
  <w:rsids>
    <w:rsidRoot w:val="00E26EEF"/>
    <w:rsid w:val="000061C2"/>
    <w:rsid w:val="0001197C"/>
    <w:rsid w:val="00016D51"/>
    <w:rsid w:val="00021AFF"/>
    <w:rsid w:val="000261FC"/>
    <w:rsid w:val="0003597D"/>
    <w:rsid w:val="00035A5B"/>
    <w:rsid w:val="000404C5"/>
    <w:rsid w:val="00046598"/>
    <w:rsid w:val="000705FC"/>
    <w:rsid w:val="00070F16"/>
    <w:rsid w:val="0007300E"/>
    <w:rsid w:val="00073D4A"/>
    <w:rsid w:val="00077241"/>
    <w:rsid w:val="00085252"/>
    <w:rsid w:val="000A0ED6"/>
    <w:rsid w:val="000B0A66"/>
    <w:rsid w:val="000C43EB"/>
    <w:rsid w:val="000D0BAB"/>
    <w:rsid w:val="000E5F22"/>
    <w:rsid w:val="000F0D45"/>
    <w:rsid w:val="000F3EB3"/>
    <w:rsid w:val="000F54E5"/>
    <w:rsid w:val="00111248"/>
    <w:rsid w:val="00127EA5"/>
    <w:rsid w:val="00133C25"/>
    <w:rsid w:val="0013449F"/>
    <w:rsid w:val="00161717"/>
    <w:rsid w:val="001770E1"/>
    <w:rsid w:val="00184DBE"/>
    <w:rsid w:val="00191D65"/>
    <w:rsid w:val="001964B5"/>
    <w:rsid w:val="001A37C1"/>
    <w:rsid w:val="001B0335"/>
    <w:rsid w:val="001B24DC"/>
    <w:rsid w:val="001B30DE"/>
    <w:rsid w:val="001B4472"/>
    <w:rsid w:val="001B4607"/>
    <w:rsid w:val="001B62DF"/>
    <w:rsid w:val="001B6D60"/>
    <w:rsid w:val="001E1BEA"/>
    <w:rsid w:val="001E36C6"/>
    <w:rsid w:val="001E3754"/>
    <w:rsid w:val="00200327"/>
    <w:rsid w:val="00231E5A"/>
    <w:rsid w:val="002576CE"/>
    <w:rsid w:val="00257976"/>
    <w:rsid w:val="00257A5B"/>
    <w:rsid w:val="00263913"/>
    <w:rsid w:val="00264CCE"/>
    <w:rsid w:val="00273736"/>
    <w:rsid w:val="00280449"/>
    <w:rsid w:val="002845FC"/>
    <w:rsid w:val="0029545C"/>
    <w:rsid w:val="00297453"/>
    <w:rsid w:val="002B08A0"/>
    <w:rsid w:val="002B256D"/>
    <w:rsid w:val="002B3673"/>
    <w:rsid w:val="002C0C0F"/>
    <w:rsid w:val="002C2E01"/>
    <w:rsid w:val="002E51A4"/>
    <w:rsid w:val="002F27D9"/>
    <w:rsid w:val="002F27DE"/>
    <w:rsid w:val="002F2B16"/>
    <w:rsid w:val="002F34DE"/>
    <w:rsid w:val="00302633"/>
    <w:rsid w:val="003027E1"/>
    <w:rsid w:val="00303D63"/>
    <w:rsid w:val="003214F7"/>
    <w:rsid w:val="00324825"/>
    <w:rsid w:val="00325676"/>
    <w:rsid w:val="00331C34"/>
    <w:rsid w:val="003329F5"/>
    <w:rsid w:val="00333EB3"/>
    <w:rsid w:val="0034303C"/>
    <w:rsid w:val="00355FB3"/>
    <w:rsid w:val="003577B2"/>
    <w:rsid w:val="003972E0"/>
    <w:rsid w:val="003B42DF"/>
    <w:rsid w:val="003B783D"/>
    <w:rsid w:val="003C4D99"/>
    <w:rsid w:val="003C59DF"/>
    <w:rsid w:val="003C73E5"/>
    <w:rsid w:val="003D1653"/>
    <w:rsid w:val="003E5FC2"/>
    <w:rsid w:val="003F175F"/>
    <w:rsid w:val="00410DBA"/>
    <w:rsid w:val="00421B62"/>
    <w:rsid w:val="00441538"/>
    <w:rsid w:val="004518B9"/>
    <w:rsid w:val="0046185D"/>
    <w:rsid w:val="004637E6"/>
    <w:rsid w:val="00466EDF"/>
    <w:rsid w:val="00467278"/>
    <w:rsid w:val="004745EF"/>
    <w:rsid w:val="00482C04"/>
    <w:rsid w:val="0048373D"/>
    <w:rsid w:val="004864A7"/>
    <w:rsid w:val="004864B7"/>
    <w:rsid w:val="004A79A4"/>
    <w:rsid w:val="004C3144"/>
    <w:rsid w:val="004C7098"/>
    <w:rsid w:val="004D1D3B"/>
    <w:rsid w:val="004E4754"/>
    <w:rsid w:val="004F3CF9"/>
    <w:rsid w:val="004F54CB"/>
    <w:rsid w:val="005005C0"/>
    <w:rsid w:val="00521E0F"/>
    <w:rsid w:val="005223AC"/>
    <w:rsid w:val="00535DE2"/>
    <w:rsid w:val="005455F7"/>
    <w:rsid w:val="00545A9F"/>
    <w:rsid w:val="00552E5A"/>
    <w:rsid w:val="00565BE3"/>
    <w:rsid w:val="00585417"/>
    <w:rsid w:val="005918D1"/>
    <w:rsid w:val="00593333"/>
    <w:rsid w:val="00596C6F"/>
    <w:rsid w:val="005A360F"/>
    <w:rsid w:val="005A54A9"/>
    <w:rsid w:val="005A7EE8"/>
    <w:rsid w:val="005B5AE1"/>
    <w:rsid w:val="005C3650"/>
    <w:rsid w:val="005D2DF5"/>
    <w:rsid w:val="005F1037"/>
    <w:rsid w:val="005F1735"/>
    <w:rsid w:val="00606DB7"/>
    <w:rsid w:val="00621017"/>
    <w:rsid w:val="0063615B"/>
    <w:rsid w:val="00636207"/>
    <w:rsid w:val="00671AEB"/>
    <w:rsid w:val="00676044"/>
    <w:rsid w:val="0068536D"/>
    <w:rsid w:val="006A7CBF"/>
    <w:rsid w:val="006B1E86"/>
    <w:rsid w:val="006D492A"/>
    <w:rsid w:val="006E1574"/>
    <w:rsid w:val="006E267A"/>
    <w:rsid w:val="006E3111"/>
    <w:rsid w:val="006E554A"/>
    <w:rsid w:val="00715619"/>
    <w:rsid w:val="00715FAB"/>
    <w:rsid w:val="0074252F"/>
    <w:rsid w:val="0077143C"/>
    <w:rsid w:val="0077790C"/>
    <w:rsid w:val="00785022"/>
    <w:rsid w:val="0078516A"/>
    <w:rsid w:val="00786644"/>
    <w:rsid w:val="007A3430"/>
    <w:rsid w:val="007A5430"/>
    <w:rsid w:val="007A5E7A"/>
    <w:rsid w:val="007B0C7A"/>
    <w:rsid w:val="007B0F53"/>
    <w:rsid w:val="007C3955"/>
    <w:rsid w:val="007C3E58"/>
    <w:rsid w:val="007C7ECC"/>
    <w:rsid w:val="007D55DC"/>
    <w:rsid w:val="007E17FD"/>
    <w:rsid w:val="007F0427"/>
    <w:rsid w:val="007F119F"/>
    <w:rsid w:val="008007D0"/>
    <w:rsid w:val="00800839"/>
    <w:rsid w:val="00801B5D"/>
    <w:rsid w:val="008149CF"/>
    <w:rsid w:val="00814EE1"/>
    <w:rsid w:val="00816481"/>
    <w:rsid w:val="00832129"/>
    <w:rsid w:val="00835F62"/>
    <w:rsid w:val="00854AB1"/>
    <w:rsid w:val="0086235D"/>
    <w:rsid w:val="00864CFD"/>
    <w:rsid w:val="008660D6"/>
    <w:rsid w:val="00867B14"/>
    <w:rsid w:val="00880BBF"/>
    <w:rsid w:val="00882873"/>
    <w:rsid w:val="00892AD8"/>
    <w:rsid w:val="008975F8"/>
    <w:rsid w:val="00897F60"/>
    <w:rsid w:val="008A6AA0"/>
    <w:rsid w:val="008C45F9"/>
    <w:rsid w:val="008D0E65"/>
    <w:rsid w:val="008D2676"/>
    <w:rsid w:val="008E0200"/>
    <w:rsid w:val="008E1123"/>
    <w:rsid w:val="008E135D"/>
    <w:rsid w:val="008E675D"/>
    <w:rsid w:val="009177AD"/>
    <w:rsid w:val="0093651D"/>
    <w:rsid w:val="00936602"/>
    <w:rsid w:val="009447CB"/>
    <w:rsid w:val="0096120B"/>
    <w:rsid w:val="00985130"/>
    <w:rsid w:val="009A61EF"/>
    <w:rsid w:val="009A7D1F"/>
    <w:rsid w:val="009E4BF0"/>
    <w:rsid w:val="009E75E6"/>
    <w:rsid w:val="009F3143"/>
    <w:rsid w:val="00A14803"/>
    <w:rsid w:val="00A14E00"/>
    <w:rsid w:val="00A248A1"/>
    <w:rsid w:val="00A447CF"/>
    <w:rsid w:val="00A52455"/>
    <w:rsid w:val="00A646F1"/>
    <w:rsid w:val="00A64C23"/>
    <w:rsid w:val="00A709BF"/>
    <w:rsid w:val="00A70E20"/>
    <w:rsid w:val="00A80992"/>
    <w:rsid w:val="00A91786"/>
    <w:rsid w:val="00A928DE"/>
    <w:rsid w:val="00AA0B21"/>
    <w:rsid w:val="00AA2C47"/>
    <w:rsid w:val="00AB28E2"/>
    <w:rsid w:val="00AC10EE"/>
    <w:rsid w:val="00AC7F0F"/>
    <w:rsid w:val="00AD0D96"/>
    <w:rsid w:val="00AD213B"/>
    <w:rsid w:val="00AD436F"/>
    <w:rsid w:val="00AD564F"/>
    <w:rsid w:val="00AE0FAC"/>
    <w:rsid w:val="00AE350A"/>
    <w:rsid w:val="00AE73A7"/>
    <w:rsid w:val="00B014BC"/>
    <w:rsid w:val="00B15418"/>
    <w:rsid w:val="00B208CC"/>
    <w:rsid w:val="00B42359"/>
    <w:rsid w:val="00B459D5"/>
    <w:rsid w:val="00B46738"/>
    <w:rsid w:val="00B53757"/>
    <w:rsid w:val="00B544C8"/>
    <w:rsid w:val="00B75634"/>
    <w:rsid w:val="00B760A7"/>
    <w:rsid w:val="00B800FC"/>
    <w:rsid w:val="00B91184"/>
    <w:rsid w:val="00B94A57"/>
    <w:rsid w:val="00BA5563"/>
    <w:rsid w:val="00BA7998"/>
    <w:rsid w:val="00BB25A2"/>
    <w:rsid w:val="00BB35D6"/>
    <w:rsid w:val="00BD5CBA"/>
    <w:rsid w:val="00C00C16"/>
    <w:rsid w:val="00C407ED"/>
    <w:rsid w:val="00C43A8B"/>
    <w:rsid w:val="00C6734E"/>
    <w:rsid w:val="00C71C04"/>
    <w:rsid w:val="00C7653C"/>
    <w:rsid w:val="00C866AC"/>
    <w:rsid w:val="00C95447"/>
    <w:rsid w:val="00CB139B"/>
    <w:rsid w:val="00CB44F9"/>
    <w:rsid w:val="00CD7415"/>
    <w:rsid w:val="00CE2B1B"/>
    <w:rsid w:val="00CE4BD0"/>
    <w:rsid w:val="00CF0914"/>
    <w:rsid w:val="00CF22AF"/>
    <w:rsid w:val="00CF71B2"/>
    <w:rsid w:val="00D01C7C"/>
    <w:rsid w:val="00D15424"/>
    <w:rsid w:val="00D20F62"/>
    <w:rsid w:val="00D324D1"/>
    <w:rsid w:val="00D33B21"/>
    <w:rsid w:val="00D352EA"/>
    <w:rsid w:val="00D52721"/>
    <w:rsid w:val="00D53E55"/>
    <w:rsid w:val="00D57A7D"/>
    <w:rsid w:val="00D60843"/>
    <w:rsid w:val="00D87C45"/>
    <w:rsid w:val="00D927EB"/>
    <w:rsid w:val="00DA0924"/>
    <w:rsid w:val="00DA1DD0"/>
    <w:rsid w:val="00DC25E4"/>
    <w:rsid w:val="00DC4533"/>
    <w:rsid w:val="00DC50E5"/>
    <w:rsid w:val="00DD55F8"/>
    <w:rsid w:val="00DE6D3D"/>
    <w:rsid w:val="00DF2FB0"/>
    <w:rsid w:val="00E014B0"/>
    <w:rsid w:val="00E05A8A"/>
    <w:rsid w:val="00E26EEF"/>
    <w:rsid w:val="00E33826"/>
    <w:rsid w:val="00E377EE"/>
    <w:rsid w:val="00E41037"/>
    <w:rsid w:val="00E4263A"/>
    <w:rsid w:val="00E42722"/>
    <w:rsid w:val="00E43260"/>
    <w:rsid w:val="00E646AA"/>
    <w:rsid w:val="00E82138"/>
    <w:rsid w:val="00E825F3"/>
    <w:rsid w:val="00E84713"/>
    <w:rsid w:val="00E85A32"/>
    <w:rsid w:val="00EB54A7"/>
    <w:rsid w:val="00EC0B32"/>
    <w:rsid w:val="00ED02B1"/>
    <w:rsid w:val="00ED1327"/>
    <w:rsid w:val="00EE3D73"/>
    <w:rsid w:val="00EF5149"/>
    <w:rsid w:val="00F04AF4"/>
    <w:rsid w:val="00F07919"/>
    <w:rsid w:val="00F17C2B"/>
    <w:rsid w:val="00F43232"/>
    <w:rsid w:val="00F47111"/>
    <w:rsid w:val="00F664FB"/>
    <w:rsid w:val="00F670BC"/>
    <w:rsid w:val="00F85653"/>
    <w:rsid w:val="00F95715"/>
    <w:rsid w:val="00F9778D"/>
    <w:rsid w:val="00FB2327"/>
    <w:rsid w:val="00FC53A3"/>
    <w:rsid w:val="00FC5E6D"/>
    <w:rsid w:val="00FE3592"/>
    <w:rsid w:val="00FE67F5"/>
    <w:rsid w:val="00FF4893"/>
    <w:rsid w:val="00FF55A9"/>
    <w:rsid w:val="0E51772F"/>
    <w:rsid w:val="1BB31B29"/>
    <w:rsid w:val="2F4C3780"/>
    <w:rsid w:val="31E40F14"/>
    <w:rsid w:val="32905BA8"/>
    <w:rsid w:val="36301C12"/>
    <w:rsid w:val="5E70660C"/>
    <w:rsid w:val="6C6E0DB2"/>
    <w:rsid w:val="76841EFC"/>
    <w:rsid w:val="797764BE"/>
    <w:rsid w:val="79E3165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12"/>
    <w:qFormat/>
    <w:uiPriority w:val="9"/>
    <w:pPr>
      <w:keepNext/>
      <w:keepLines/>
      <w:spacing w:before="240" w:after="24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2"/>
    <w:basedOn w:val="1"/>
    <w:next w:val="1"/>
    <w:link w:val="13"/>
    <w:unhideWhenUsed/>
    <w:qFormat/>
    <w:uiPriority w:val="9"/>
    <w:pPr>
      <w:keepNext/>
      <w:keepLines/>
      <w:spacing w:before="140" w:after="140" w:line="416" w:lineRule="auto"/>
      <w:outlineLvl w:val="1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heading 3"/>
    <w:basedOn w:val="1"/>
    <w:next w:val="1"/>
    <w:link w:val="14"/>
    <w:unhideWhenUsed/>
    <w:qFormat/>
    <w:uiPriority w:val="9"/>
    <w:pPr>
      <w:keepNext/>
      <w:keepLines/>
      <w:spacing w:before="140" w:after="140" w:line="416" w:lineRule="auto"/>
      <w:outlineLvl w:val="2"/>
    </w:pPr>
    <w:rPr>
      <w:b/>
      <w:bCs/>
      <w:sz w:val="32"/>
      <w:szCs w:val="32"/>
    </w:rPr>
  </w:style>
  <w:style w:type="paragraph" w:styleId="5">
    <w:name w:val="heading 4"/>
    <w:basedOn w:val="1"/>
    <w:next w:val="1"/>
    <w:link w:val="17"/>
    <w:qFormat/>
    <w:uiPriority w:val="0"/>
    <w:pPr>
      <w:keepNext/>
      <w:keepLines/>
      <w:spacing w:line="360" w:lineRule="auto"/>
      <w:jc w:val="center"/>
      <w:outlineLvl w:val="3"/>
    </w:pPr>
    <w:rPr>
      <w:rFonts w:hAnsi="Arial" w:cs="Times New Roman" w:asciiTheme="majorEastAsia" w:eastAsiaTheme="majorEastAsia"/>
      <w:b/>
      <w:bCs/>
      <w:sz w:val="24"/>
      <w:szCs w:val="28"/>
    </w:rPr>
  </w:style>
  <w:style w:type="character" w:default="1" w:styleId="11">
    <w:name w:val="Default Paragraph Font"/>
    <w:semiHidden/>
    <w:unhideWhenUsed/>
    <w:uiPriority w:val="1"/>
  </w:style>
  <w:style w:type="table" w:default="1" w:styleId="10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alloon Text"/>
    <w:basedOn w:val="1"/>
    <w:link w:val="26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19"/>
    <w:unhideWhenUsed/>
    <w:qFormat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8">
    <w:name w:val="header"/>
    <w:basedOn w:val="1"/>
    <w:link w:val="1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Title"/>
    <w:basedOn w:val="1"/>
    <w:link w:val="15"/>
    <w:qFormat/>
    <w:uiPriority w:val="0"/>
    <w:pPr>
      <w:jc w:val="center"/>
    </w:pPr>
    <w:rPr>
      <w:sz w:val="30"/>
      <w:szCs w:val="24"/>
    </w:rPr>
  </w:style>
  <w:style w:type="character" w:customStyle="1" w:styleId="12">
    <w:name w:val="标题 1 字符"/>
    <w:basedOn w:val="11"/>
    <w:link w:val="2"/>
    <w:qFormat/>
    <w:uiPriority w:val="9"/>
    <w:rPr>
      <w:b/>
      <w:bCs/>
      <w:kern w:val="44"/>
      <w:sz w:val="44"/>
      <w:szCs w:val="44"/>
    </w:rPr>
  </w:style>
  <w:style w:type="character" w:customStyle="1" w:styleId="13">
    <w:name w:val="标题 2 字符"/>
    <w:basedOn w:val="11"/>
    <w:link w:val="3"/>
    <w:qFormat/>
    <w:uiPriority w:val="9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4">
    <w:name w:val="标题 3 字符"/>
    <w:basedOn w:val="11"/>
    <w:link w:val="4"/>
    <w:qFormat/>
    <w:uiPriority w:val="9"/>
    <w:rPr>
      <w:b/>
      <w:bCs/>
      <w:sz w:val="32"/>
      <w:szCs w:val="32"/>
    </w:rPr>
  </w:style>
  <w:style w:type="character" w:customStyle="1" w:styleId="15">
    <w:name w:val="标题 字符"/>
    <w:link w:val="9"/>
    <w:qFormat/>
    <w:uiPriority w:val="0"/>
    <w:rPr>
      <w:sz w:val="30"/>
      <w:szCs w:val="24"/>
    </w:rPr>
  </w:style>
  <w:style w:type="paragraph" w:customStyle="1" w:styleId="16">
    <w:name w:val="宋四一级"/>
    <w:qFormat/>
    <w:uiPriority w:val="0"/>
    <w:pPr>
      <w:spacing w:line="360" w:lineRule="auto"/>
      <w:outlineLvl w:val="0"/>
    </w:pPr>
    <w:rPr>
      <w:rFonts w:ascii="Calibri" w:hAnsi="Calibri" w:eastAsia="宋体" w:cs="Times New Roman"/>
      <w:kern w:val="2"/>
      <w:sz w:val="28"/>
      <w:szCs w:val="22"/>
      <w:lang w:val="en-US" w:eastAsia="zh-CN" w:bidi="ar-SA"/>
    </w:rPr>
  </w:style>
  <w:style w:type="character" w:customStyle="1" w:styleId="17">
    <w:name w:val="标题 4 字符"/>
    <w:basedOn w:val="11"/>
    <w:link w:val="5"/>
    <w:qFormat/>
    <w:uiPriority w:val="0"/>
    <w:rPr>
      <w:rFonts w:hAnsi="Arial" w:cs="Times New Roman" w:asciiTheme="majorEastAsia" w:eastAsiaTheme="majorEastAsia"/>
      <w:b/>
      <w:bCs/>
      <w:sz w:val="24"/>
      <w:szCs w:val="28"/>
    </w:rPr>
  </w:style>
  <w:style w:type="character" w:customStyle="1" w:styleId="18">
    <w:name w:val="页眉 字符"/>
    <w:basedOn w:val="11"/>
    <w:link w:val="8"/>
    <w:qFormat/>
    <w:uiPriority w:val="99"/>
    <w:rPr>
      <w:sz w:val="18"/>
      <w:szCs w:val="18"/>
    </w:rPr>
  </w:style>
  <w:style w:type="character" w:customStyle="1" w:styleId="19">
    <w:name w:val="页脚 字符"/>
    <w:basedOn w:val="11"/>
    <w:link w:val="7"/>
    <w:qFormat/>
    <w:uiPriority w:val="99"/>
    <w:rPr>
      <w:sz w:val="18"/>
      <w:szCs w:val="18"/>
    </w:rPr>
  </w:style>
  <w:style w:type="table" w:customStyle="1" w:styleId="20">
    <w:name w:val="Table Normal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Table Normal1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2">
    <w:name w:val="Table Paragraph"/>
    <w:basedOn w:val="1"/>
    <w:qFormat/>
    <w:uiPriority w:val="1"/>
    <w:pPr>
      <w:autoSpaceDE w:val="0"/>
      <w:autoSpaceDN w:val="0"/>
    </w:pPr>
    <w:rPr>
      <w:rFonts w:ascii="宋体" w:hAnsi="宋体" w:eastAsia="宋体" w:cs="宋体"/>
      <w:kern w:val="0"/>
      <w:sz w:val="22"/>
      <w:lang w:val="zh-CN" w:bidi="zh-CN"/>
    </w:rPr>
  </w:style>
  <w:style w:type="table" w:customStyle="1" w:styleId="23">
    <w:name w:val="Table Normal2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4">
    <w:name w:val="Table Normal3"/>
    <w:semiHidden/>
    <w:unhideWhenUsed/>
    <w:qFormat/>
    <w:uiPriority w:val="2"/>
    <w:pPr>
      <w:widowControl w:val="0"/>
      <w:autoSpaceDE w:val="0"/>
      <w:autoSpaceDN w:val="0"/>
    </w:pPr>
    <w:rPr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qFormat/>
    <w:uiPriority w:val="34"/>
    <w:pPr>
      <w:ind w:firstLine="420" w:firstLineChars="200"/>
    </w:pPr>
  </w:style>
  <w:style w:type="character" w:customStyle="1" w:styleId="26">
    <w:name w:val="批注框文本 字符"/>
    <w:basedOn w:val="11"/>
    <w:link w:val="6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1167</Words>
  <Characters>1784</Characters>
  <Lines>70</Lines>
  <Paragraphs>19</Paragraphs>
  <TotalTime>2</TotalTime>
  <ScaleCrop>false</ScaleCrop>
  <LinksUpToDate>false</LinksUpToDate>
  <CharactersWithSpaces>1872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2022-10-18T13:13:00Z</dcterms:created>
  <dc:creator>Tristan</dc:creator>
  <cp:lastModifiedBy>梁旦成</cp:lastModifiedBy>
  <cp:lastPrinted>2021-03-05T04:20:00Z</cp:lastPrinted>
  <dcterms:modified xsi:type="dcterms:W3CDTF">2022-12-13T09:21:12Z</dcterms:modified>
  <cp:revision>35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EB4801CE0D3F406CBA53710B32108D5F</vt:lpwstr>
  </property>
</Properties>
</file>